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79CAB3B2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406B34">
              <w:rPr>
                <w:b/>
                <w:bCs/>
                <w:color w:val="FFFFFF" w:themeColor="background1"/>
                <w:sz w:val="40"/>
                <w:szCs w:val="40"/>
              </w:rPr>
              <w:t xml:space="preserve">Supporting Language Development (Birth – 6 years)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4F6279E" w14:textId="13FB6533" w:rsidR="00A22617" w:rsidRDefault="00DD111F" w:rsidP="0083351C">
            <w:r>
              <w:t xml:space="preserve">Both </w:t>
            </w:r>
            <w:r w:rsidRPr="002F240B">
              <w:rPr>
                <w:i/>
                <w:iCs/>
              </w:rPr>
              <w:t xml:space="preserve">Aistear </w:t>
            </w:r>
            <w:r w:rsidRPr="002F240B">
              <w:t>and</w:t>
            </w:r>
            <w:r w:rsidRPr="002F240B">
              <w:rPr>
                <w:i/>
                <w:iCs/>
              </w:rPr>
              <w:t xml:space="preserve"> Síolta</w:t>
            </w:r>
            <w:r>
              <w:t xml:space="preserve"> highlight the </w:t>
            </w:r>
            <w:r w:rsidR="00301C65">
              <w:t xml:space="preserve"> importan</w:t>
            </w:r>
            <w:r w:rsidR="009A06A5">
              <w:t>ce of supporting language development</w:t>
            </w:r>
            <w:r w:rsidR="001B71E8">
              <w:t xml:space="preserve"> with babies, toddlers and young children. </w:t>
            </w:r>
            <w:r w:rsidR="00301C65">
              <w:t xml:space="preserve"> </w:t>
            </w:r>
            <w:r w:rsidR="001B71E8">
              <w:t>Engaging interactions along with</w:t>
            </w:r>
            <w:r w:rsidR="008F7C8B">
              <w:t xml:space="preserve"> attuned and responsive</w:t>
            </w:r>
            <w:r w:rsidR="005748C9">
              <w:t xml:space="preserve"> educators</w:t>
            </w:r>
            <w:r w:rsidR="008F7C8B">
              <w:t xml:space="preserve"> </w:t>
            </w:r>
            <w:r w:rsidR="00BB50C2">
              <w:t xml:space="preserve">supports language development. </w:t>
            </w:r>
          </w:p>
          <w:p w14:paraId="5D29B7AF" w14:textId="77777777" w:rsidR="00152F9B" w:rsidRDefault="00152F9B" w:rsidP="0083351C"/>
          <w:p w14:paraId="6E32178A" w14:textId="7202C902" w:rsidR="00152F9B" w:rsidRDefault="00152F9B" w:rsidP="0083351C">
            <w:r>
              <w:t>In this short CPD</w:t>
            </w:r>
            <w:r w:rsidR="00100F9D">
              <w:t xml:space="preserve"> session</w:t>
            </w:r>
            <w:r>
              <w:t xml:space="preserve">, you will learn about some strategies for supporting and promoting language development with children from birth – six years.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Pr="00620BE0">
              <w:rPr>
                <w:b/>
                <w:bCs/>
                <w:i/>
                <w:iCs/>
              </w:rPr>
              <w:t>ey connections</w:t>
            </w:r>
          </w:p>
          <w:p w14:paraId="1B0054DD" w14:textId="04A61B4D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 w:rsidRPr="00970011">
              <w:rPr>
                <w:i/>
                <w:iCs/>
              </w:rPr>
              <w:t>Aistear’s</w:t>
            </w:r>
            <w:r w:rsidRPr="00D06A4F">
              <w:t xml:space="preserve"> theme of </w:t>
            </w:r>
            <w:hyperlink r:id="rId11" w:history="1">
              <w:r w:rsidR="00E61FE9" w:rsidRPr="00E61FE9">
                <w:rPr>
                  <w:rStyle w:val="Hyperlink"/>
                </w:rPr>
                <w:t>Communicating</w:t>
              </w:r>
            </w:hyperlink>
          </w:p>
          <w:p w14:paraId="69A9F701" w14:textId="08191625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 w:rsidRPr="0083351C">
              <w:rPr>
                <w:i/>
              </w:rPr>
              <w:t>Síolta</w:t>
            </w:r>
            <w:r w:rsidR="0061396D">
              <w:rPr>
                <w:i/>
              </w:rPr>
              <w:t xml:space="preserve">’s </w:t>
            </w:r>
            <w:r w:rsidR="0061396D">
              <w:rPr>
                <w:iCs/>
              </w:rPr>
              <w:t xml:space="preserve">Standard of </w:t>
            </w:r>
            <w:hyperlink r:id="rId12" w:history="1">
              <w:r w:rsidR="0061396D" w:rsidRPr="0061396D">
                <w:rPr>
                  <w:rStyle w:val="Hyperlink"/>
                  <w:iCs/>
                </w:rPr>
                <w:t>Interactions</w:t>
              </w:r>
            </w:hyperlink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6FE658D2" w:rsidR="00DD111F" w:rsidRPr="005748C9" w:rsidRDefault="005748C9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748C9">
                                    <w:rPr>
                                      <w:b/>
                                      <w:bCs/>
                                    </w:rPr>
                                    <w:t>Engaging interactions along with attuned and responsive educators supports language development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6FE658D2" w:rsidR="00DD111F" w:rsidRPr="005748C9" w:rsidRDefault="005748C9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48C9">
                              <w:rPr>
                                <w:b/>
                                <w:bCs/>
                              </w:rPr>
                              <w:t>Engaging interactions along with attuned and responsive educators supports language development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03" w14:paraId="3377D625" w14:textId="77777777" w:rsidTr="4DB8A01D">
        <w:tc>
          <w:tcPr>
            <w:tcW w:w="1656" w:type="dxa"/>
          </w:tcPr>
          <w:p w14:paraId="57E7C45F" w14:textId="3191CE5E" w:rsidR="001F3503" w:rsidRDefault="001F3503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1A6B7FA" wp14:editId="33ECC4C4">
                  <wp:extent cx="482400" cy="482400"/>
                  <wp:effectExtent l="0" t="0" r="0" b="0"/>
                  <wp:docPr id="3" name="Graphic 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56256B2" w14:textId="6F3126C8" w:rsidR="001F3503" w:rsidRDefault="00BD7B5B" w:rsidP="00294C14">
            <w:r>
              <w:t>The quality of interactions between educators and babies and toddlers is important in developing non-verbal and verbal language skills</w:t>
            </w:r>
            <w:r w:rsidR="002B69F4">
              <w:t xml:space="preserve">. </w:t>
            </w:r>
            <w:hyperlink r:id="rId17" w:history="1">
              <w:r w:rsidR="002B69F4" w:rsidRPr="002B69F4">
                <w:rPr>
                  <w:rStyle w:val="Hyperlink"/>
                </w:rPr>
                <w:t>This document</w:t>
              </w:r>
            </w:hyperlink>
            <w:r w:rsidR="002B69F4">
              <w:t xml:space="preserve"> </w:t>
            </w:r>
            <w:r>
              <w:t xml:space="preserve">gives some very practical ideas and strategies on how to promote language development </w:t>
            </w:r>
            <w:r w:rsidR="00CC187C">
              <w:t>with</w:t>
            </w:r>
            <w:r>
              <w:t xml:space="preserve"> babies and toddlers. </w:t>
            </w:r>
          </w:p>
          <w:p w14:paraId="22DA08A2" w14:textId="77777777" w:rsidR="00CA5A1B" w:rsidRDefault="00CA5A1B" w:rsidP="00294C14">
            <w:pPr>
              <w:rPr>
                <w:rFonts w:cstheme="minorHAnsi"/>
              </w:rPr>
            </w:pPr>
          </w:p>
          <w:p w14:paraId="04E8F51E" w14:textId="4449EF22" w:rsidR="00CC187C" w:rsidRDefault="00CC187C" w:rsidP="00CC187C">
            <w:r>
              <w:t>From three to six years, children rapidly increase the number of words they use and change how they use language to communicate and to learn. A child turning three years may have a few hundred words and by the time he/she is six years, may have many thousand words.</w:t>
            </w:r>
            <w:r w:rsidR="00C01472">
              <w:t xml:space="preserve"> </w:t>
            </w:r>
            <w:hyperlink r:id="rId18" w:history="1">
              <w:r w:rsidR="00C01472" w:rsidRPr="00C01472">
                <w:rPr>
                  <w:rStyle w:val="Hyperlink"/>
                </w:rPr>
                <w:t>This document</w:t>
              </w:r>
            </w:hyperlink>
            <w:r w:rsidR="00C01472">
              <w:t xml:space="preserve"> </w:t>
            </w:r>
            <w:r>
              <w:t xml:space="preserve">gives some very practical ideas and strategies on how to promote language development with young children.  </w:t>
            </w:r>
          </w:p>
          <w:p w14:paraId="716563F9" w14:textId="781037A4" w:rsidR="00CA5A1B" w:rsidRPr="00745771" w:rsidRDefault="00CA5A1B" w:rsidP="00294C14">
            <w:pPr>
              <w:rPr>
                <w:rFonts w:cstheme="minorHAnsi"/>
              </w:rPr>
            </w:pPr>
          </w:p>
        </w:tc>
        <w:tc>
          <w:tcPr>
            <w:tcW w:w="657" w:type="dxa"/>
          </w:tcPr>
          <w:p w14:paraId="59B94423" w14:textId="77777777" w:rsidR="001F3503" w:rsidRDefault="001F3503" w:rsidP="00DC6B88"/>
        </w:tc>
      </w:tr>
      <w:tr w:rsidR="000154FD" w14:paraId="18A39F59" w14:textId="77777777" w:rsidTr="4DB8A01D">
        <w:tc>
          <w:tcPr>
            <w:tcW w:w="1656" w:type="dxa"/>
          </w:tcPr>
          <w:p w14:paraId="18372453" w14:textId="449F0170" w:rsidR="000154FD" w:rsidRDefault="000154FD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3070DEA" wp14:editId="60AD96E2">
                  <wp:extent cx="482400" cy="482400"/>
                  <wp:effectExtent l="0" t="0" r="0" b="0"/>
                  <wp:docPr id="7" name="Graphic 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C11E980" w14:textId="23579F9E" w:rsidR="00EF15CD" w:rsidRDefault="000154FD" w:rsidP="00294C14">
            <w:r w:rsidRPr="000154FD">
              <w:rPr>
                <w:i/>
                <w:iCs/>
              </w:rPr>
              <w:t>Aistear’s</w:t>
            </w:r>
            <w:r>
              <w:t xml:space="preserve"> theme of Communicating highlights the importance of children having opportunities to become proficient users of at least one language and to have an awareness and appreciation of other languages. </w:t>
            </w:r>
            <w:hyperlink r:id="rId19" w:history="1">
              <w:r w:rsidR="00966EC5" w:rsidRPr="000D50B2">
                <w:rPr>
                  <w:rStyle w:val="Hyperlink"/>
                </w:rPr>
                <w:t>This resource may support you with children who are bi-lingual in your setting.</w:t>
              </w:r>
            </w:hyperlink>
            <w:r w:rsidR="00966EC5">
              <w:t xml:space="preserve"> </w:t>
            </w:r>
          </w:p>
          <w:p w14:paraId="2CCB9003" w14:textId="77777777" w:rsidR="00966EC5" w:rsidRDefault="00966EC5" w:rsidP="00294C14"/>
          <w:p w14:paraId="167951A2" w14:textId="204BBCA8" w:rsidR="000154FD" w:rsidRDefault="000154FD" w:rsidP="00294C14">
            <w:r>
              <w:t>As one of our two official languages, it is important that children in English-medium settings have opportunities to learn Irish from an early age</w:t>
            </w:r>
            <w:r w:rsidR="000D50B2">
              <w:t xml:space="preserve"> also</w:t>
            </w:r>
            <w:r>
              <w:t xml:space="preserve">. </w:t>
            </w:r>
            <w:hyperlink r:id="rId20" w:history="1">
              <w:r w:rsidRPr="009376AC">
                <w:rPr>
                  <w:rStyle w:val="Hyperlink"/>
                </w:rPr>
                <w:t>This resource may support you to do this in practice</w:t>
              </w:r>
            </w:hyperlink>
            <w:r>
              <w:t xml:space="preserve">. </w:t>
            </w:r>
          </w:p>
        </w:tc>
        <w:tc>
          <w:tcPr>
            <w:tcW w:w="657" w:type="dxa"/>
          </w:tcPr>
          <w:p w14:paraId="473D6049" w14:textId="77777777" w:rsidR="000154FD" w:rsidRDefault="000154FD" w:rsidP="00DC6B88"/>
        </w:tc>
      </w:tr>
      <w:tr w:rsidR="009376AC" w14:paraId="6D491CCD" w14:textId="77777777" w:rsidTr="4DB8A01D">
        <w:tc>
          <w:tcPr>
            <w:tcW w:w="1656" w:type="dxa"/>
          </w:tcPr>
          <w:p w14:paraId="119BB2F4" w14:textId="13D98A39" w:rsidR="009376AC" w:rsidRDefault="00905CE6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B986282" wp14:editId="4007D8BD">
                  <wp:extent cx="554400" cy="554400"/>
                  <wp:effectExtent l="0" t="0" r="0" b="0"/>
                  <wp:docPr id="10" name="Graphic 10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1D2CEB1F" w14:textId="6B926492" w:rsidR="009376AC" w:rsidRPr="009376AC" w:rsidRDefault="009376AC" w:rsidP="00294C14">
            <w:r>
              <w:t>Books are a great way</w:t>
            </w:r>
            <w:r w:rsidR="00022A45">
              <w:t xml:space="preserve"> to support language learning and development. </w:t>
            </w:r>
            <w:hyperlink r:id="rId23" w:history="1">
              <w:r w:rsidR="00022A45" w:rsidRPr="00905CE6">
                <w:rPr>
                  <w:rStyle w:val="Hyperlink"/>
                </w:rPr>
                <w:t xml:space="preserve">Watch </w:t>
              </w:r>
              <w:r w:rsidR="0028119C" w:rsidRPr="00905CE6">
                <w:rPr>
                  <w:rStyle w:val="Hyperlink"/>
                </w:rPr>
                <w:t xml:space="preserve">this </w:t>
              </w:r>
              <w:r w:rsidR="00511B6F">
                <w:rPr>
                  <w:rStyle w:val="Hyperlink"/>
                </w:rPr>
                <w:t>six-</w:t>
              </w:r>
              <w:r w:rsidR="0028119C" w:rsidRPr="00905CE6">
                <w:rPr>
                  <w:rStyle w:val="Hyperlink"/>
                </w:rPr>
                <w:t>minute video</w:t>
              </w:r>
            </w:hyperlink>
            <w:r w:rsidR="0028119C">
              <w:t xml:space="preserve"> on </w:t>
            </w:r>
            <w:r w:rsidR="00905CE6">
              <w:t xml:space="preserve">how books can be enjoyed in a wide variety of spaces, both indoors and outdoors. </w:t>
            </w:r>
          </w:p>
        </w:tc>
        <w:tc>
          <w:tcPr>
            <w:tcW w:w="657" w:type="dxa"/>
          </w:tcPr>
          <w:p w14:paraId="5F44CBBE" w14:textId="77777777" w:rsidR="009376AC" w:rsidRDefault="009376AC" w:rsidP="00DC6B88"/>
        </w:tc>
      </w:tr>
      <w:tr w:rsidR="00307579" w14:paraId="591570B3" w14:textId="77777777" w:rsidTr="4DB8A01D">
        <w:tc>
          <w:tcPr>
            <w:tcW w:w="1656" w:type="dxa"/>
          </w:tcPr>
          <w:p w14:paraId="52787FC2" w14:textId="380D4E4E" w:rsidR="00307579" w:rsidRDefault="00905CE6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lastRenderedPageBreak/>
              <w:drawing>
                <wp:inline distT="0" distB="0" distL="0" distR="0" wp14:anchorId="7181DE60" wp14:editId="1E3CF320">
                  <wp:extent cx="482400" cy="482400"/>
                  <wp:effectExtent l="0" t="0" r="0" b="0"/>
                  <wp:docPr id="11" name="Graphic 11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0AA8DBB" w14:textId="77777777" w:rsidR="00367D59" w:rsidRDefault="002A3ED9" w:rsidP="00294C14">
            <w:pPr>
              <w:rPr>
                <w:rFonts w:cstheme="minorHAnsi"/>
              </w:rPr>
            </w:pPr>
            <w:r>
              <w:rPr>
                <w:rFonts w:cstheme="minorHAnsi"/>
              </w:rPr>
              <w:t>These picture book lists provide lots of ideas of books that could be used in your setting to support language learning and development</w:t>
            </w:r>
            <w:r w:rsidR="00D318E6">
              <w:rPr>
                <w:rFonts w:cstheme="minorHAnsi"/>
              </w:rPr>
              <w:t xml:space="preserve">. </w:t>
            </w:r>
          </w:p>
          <w:p w14:paraId="2527F4E7" w14:textId="7F7F4C57" w:rsidR="00D318E6" w:rsidRDefault="00000000" w:rsidP="00294C14">
            <w:pPr>
              <w:rPr>
                <w:rFonts w:cstheme="minorHAnsi"/>
              </w:rPr>
            </w:pPr>
            <w:hyperlink r:id="rId24" w:history="1">
              <w:r w:rsidR="00D318E6" w:rsidRPr="009A4BDB">
                <w:rPr>
                  <w:rStyle w:val="Hyperlink"/>
                  <w:rFonts w:cstheme="minorHAnsi"/>
                </w:rPr>
                <w:t>Booklists for babies</w:t>
              </w:r>
            </w:hyperlink>
          </w:p>
          <w:p w14:paraId="64C0D121" w14:textId="0AD30615" w:rsidR="00D318E6" w:rsidRDefault="00000000" w:rsidP="00294C14">
            <w:pPr>
              <w:rPr>
                <w:rFonts w:cstheme="minorHAnsi"/>
              </w:rPr>
            </w:pPr>
            <w:hyperlink r:id="rId25" w:history="1">
              <w:r w:rsidR="00D318E6" w:rsidRPr="009A4BDB">
                <w:rPr>
                  <w:rStyle w:val="Hyperlink"/>
                  <w:rFonts w:cstheme="minorHAnsi"/>
                </w:rPr>
                <w:t>Booklists for toddlers</w:t>
              </w:r>
            </w:hyperlink>
          </w:p>
          <w:p w14:paraId="73CA2258" w14:textId="4210AA2A" w:rsidR="00D318E6" w:rsidRPr="00745771" w:rsidRDefault="00000000" w:rsidP="00294C14">
            <w:pPr>
              <w:rPr>
                <w:rFonts w:cstheme="minorHAnsi"/>
              </w:rPr>
            </w:pPr>
            <w:hyperlink r:id="rId26" w:history="1">
              <w:r w:rsidR="00D318E6" w:rsidRPr="009A4BDB">
                <w:rPr>
                  <w:rStyle w:val="Hyperlink"/>
                  <w:rFonts w:cstheme="minorHAnsi"/>
                </w:rPr>
                <w:t>Booklists for young children</w:t>
              </w:r>
            </w:hyperlink>
            <w:r w:rsidR="00D318E6">
              <w:rPr>
                <w:rFonts w:cstheme="minorHAnsi"/>
              </w:rPr>
              <w:t xml:space="preserve"> </w:t>
            </w:r>
          </w:p>
        </w:tc>
        <w:tc>
          <w:tcPr>
            <w:tcW w:w="657" w:type="dxa"/>
          </w:tcPr>
          <w:p w14:paraId="2C948740" w14:textId="77777777" w:rsidR="00307579" w:rsidRDefault="00307579" w:rsidP="00DC6B88"/>
        </w:tc>
      </w:tr>
      <w:tr w:rsidR="00637BF9" w14:paraId="2498BBAD" w14:textId="77777777" w:rsidTr="4DB8A01D">
        <w:tc>
          <w:tcPr>
            <w:tcW w:w="1656" w:type="dxa"/>
            <w:vAlign w:val="center"/>
          </w:tcPr>
          <w:p w14:paraId="61FA7104" w14:textId="078E2B52" w:rsidR="00637BF9" w:rsidRDefault="0014295B" w:rsidP="00DC6B88">
            <w:pPr>
              <w:jc w:val="center"/>
              <w:rPr>
                <w:noProof/>
              </w:rPr>
            </w:pPr>
            <w:r w:rsidRPr="00AB66DD">
              <w:rPr>
                <w:b/>
                <w:bCs/>
                <w:noProof/>
                <w:lang w:val="en-IE" w:eastAsia="en-IE"/>
              </w:rPr>
              <w:drawing>
                <wp:inline distT="0" distB="0" distL="0" distR="0" wp14:anchorId="7420A481" wp14:editId="2353E027">
                  <wp:extent cx="532737" cy="532737"/>
                  <wp:effectExtent l="0" t="0" r="1270" b="1270"/>
                  <wp:docPr id="12" name="Graphic 1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4FA7EE" w14:textId="77777777" w:rsidR="00A22617" w:rsidRDefault="00AA401B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Supporting and promoting language development is threaded through the Interactions self-evaluation tool. You might like to take some time to review this. </w:t>
            </w:r>
          </w:p>
          <w:p w14:paraId="40CF9709" w14:textId="0AD779A6" w:rsidR="00AA401B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9" w:history="1">
              <w:r w:rsidR="00AA401B" w:rsidRPr="00C92BE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Self -evaluation tool for babies and toddlers is available here.</w:t>
              </w:r>
            </w:hyperlink>
            <w:r w:rsidR="00AA40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FCE8AA1" w14:textId="5BD9720A" w:rsidR="00AA401B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30" w:history="1">
              <w:r w:rsidR="00AA401B" w:rsidRPr="00C92BE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Self-evaluation tool for young children is available here.</w:t>
              </w:r>
            </w:hyperlink>
            <w:r w:rsidR="00AA401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7" w:type="dxa"/>
          </w:tcPr>
          <w:p w14:paraId="11A93D13" w14:textId="77777777" w:rsidR="00637BF9" w:rsidRDefault="00637BF9" w:rsidP="00DC6B88"/>
        </w:tc>
      </w:tr>
    </w:tbl>
    <w:p w14:paraId="23F6C05A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536A">
              <w:rPr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026A">
              <w:rPr>
                <w:b/>
                <w:bCs/>
                <w:color w:val="FFFFFF" w:themeColor="background1"/>
                <w:sz w:val="24"/>
                <w:szCs w:val="24"/>
              </w:rPr>
              <w:t>An action I can take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Default="006B31EE" w:rsidP="006B31EE"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 xml:space="preserve">: </w:t>
            </w:r>
            <w:r w:rsidRPr="0000337C">
              <w:rPr>
                <w:color w:val="FFFFFF" w:themeColor="background1"/>
              </w:rPr>
              <w:t>Outline the changes you plan to make to your practice.</w:t>
            </w:r>
            <w:r w:rsidR="00332973">
              <w:rPr>
                <w:color w:val="FFFFFF" w:themeColor="background1"/>
              </w:rPr>
              <w:t xml:space="preserve"> How will these changes impact positively on children’s learning and development?</w:t>
            </w:r>
            <w:r w:rsidRPr="0000337C">
              <w:rPr>
                <w:color w:val="FFFFFF" w:themeColor="background1"/>
              </w:rPr>
              <w:t xml:space="preserve"> Think about the resources and supports you will </w:t>
            </w:r>
            <w:r w:rsidRPr="001F1104">
              <w:rPr>
                <w:color w:val="FFFFFF" w:themeColor="background1"/>
              </w:rPr>
              <w:t xml:space="preserve">need. </w:t>
            </w:r>
            <w:r w:rsidR="001F1104" w:rsidRPr="001F1104">
              <w:rPr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Default="001A165F" w:rsidP="001A165F"/>
          <w:p w14:paraId="7F98BF21" w14:textId="77777777" w:rsidR="001A165F" w:rsidRDefault="001A165F" w:rsidP="001A165F"/>
          <w:p w14:paraId="21E9526C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t xml:space="preserve">Link to the Practice Guide’s </w:t>
            </w:r>
            <w:hyperlink r:id="rId35" w:history="1">
              <w:r w:rsidRPr="008A18A1">
                <w:rPr>
                  <w:rStyle w:val="Hyperlink"/>
                </w:rPr>
                <w:t>Aistear Síolta Action Planning Template</w:t>
              </w:r>
            </w:hyperlink>
            <w: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 xml:space="preserve">All of the above resources and many more are available on the </w:t>
            </w:r>
            <w:r w:rsidRPr="00521171">
              <w:rPr>
                <w:i/>
                <w:iCs/>
                <w:sz w:val="24"/>
                <w:szCs w:val="24"/>
              </w:rPr>
              <w:t>Aistear Síolta Practice Guide</w:t>
            </w:r>
            <w:r w:rsidRPr="00521171">
              <w:rPr>
                <w:sz w:val="24"/>
                <w:szCs w:val="24"/>
              </w:rPr>
              <w:t xml:space="preserve"> website at </w:t>
            </w:r>
            <w:hyperlink r:id="rId36" w:history="1">
              <w:r w:rsidRPr="00521171">
                <w:rPr>
                  <w:rStyle w:val="Hyperlink"/>
                  <w:sz w:val="24"/>
                  <w:szCs w:val="24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77777777" w:rsidR="00494167" w:rsidRPr="00351E64" w:rsidRDefault="00494167" w:rsidP="00494167">
            <w:pPr>
              <w:jc w:val="center"/>
            </w:pPr>
            <w:r w:rsidRPr="00521171">
              <w:rPr>
                <w:sz w:val="24"/>
                <w:szCs w:val="24"/>
              </w:rPr>
              <w:t>Thank you for visiting and using the Practice Guide.</w:t>
            </w: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 w:rsidRPr="00B579BB">
              <w:rPr>
                <w:color w:val="FFFFFF" w:themeColor="background1"/>
              </w:rPr>
              <w:t>Additional Support Materials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3EB4F05E" w14:textId="08077DD5" w:rsidR="00F225BC" w:rsidRDefault="00DB0C10" w:rsidP="00A86E8B">
            <w:r>
              <w:t xml:space="preserve">You might be interested in these additional support materials from National </w:t>
            </w:r>
            <w:r w:rsidRPr="00B94AE1">
              <w:rPr>
                <w:i/>
                <w:iCs/>
              </w:rPr>
              <w:t>Síolta</w:t>
            </w:r>
            <w:r>
              <w:t xml:space="preserve"> </w:t>
            </w:r>
            <w:r w:rsidRPr="00916282">
              <w:rPr>
                <w:i/>
                <w:iCs/>
                <w:lang w:val="en-IE"/>
              </w:rPr>
              <w:t>Aistear</w:t>
            </w:r>
            <w:r>
              <w:t xml:space="preserve"> Initiative Partners. </w:t>
            </w:r>
          </w:p>
          <w:p w14:paraId="22730B9A" w14:textId="77777777" w:rsidR="00E1742D" w:rsidRDefault="00E1742D" w:rsidP="00A86E8B"/>
          <w:p w14:paraId="3E761858" w14:textId="5060C36B" w:rsidR="00F225BC" w:rsidRDefault="00000000" w:rsidP="00A86E8B">
            <w:hyperlink r:id="rId39" w:history="1">
              <w:r w:rsidR="00771048" w:rsidRPr="00771048">
                <w:rPr>
                  <w:rStyle w:val="Hyperlink"/>
                </w:rPr>
                <w:t>Enjoying books with your baby</w:t>
              </w:r>
            </w:hyperlink>
          </w:p>
          <w:p w14:paraId="0DD28625" w14:textId="6DF6CEDB" w:rsidR="00771048" w:rsidRDefault="00000000" w:rsidP="00A86E8B">
            <w:hyperlink r:id="rId40" w:history="1">
              <w:r w:rsidR="00771048" w:rsidRPr="006753BA">
                <w:rPr>
                  <w:rStyle w:val="Hyperlink"/>
                </w:rPr>
                <w:t>Enjoying books with your toddler</w:t>
              </w:r>
            </w:hyperlink>
          </w:p>
          <w:p w14:paraId="0B502AD6" w14:textId="623E2EC9" w:rsidR="00771048" w:rsidRDefault="00000000" w:rsidP="00A86E8B">
            <w:hyperlink r:id="rId41" w:history="1">
              <w:r w:rsidR="00771048" w:rsidRPr="006753BA">
                <w:rPr>
                  <w:rStyle w:val="Hyperlink"/>
                </w:rPr>
                <w:t>Enjoying books with your young child</w:t>
              </w:r>
            </w:hyperlink>
          </w:p>
          <w:p w14:paraId="184B14FD" w14:textId="17813FC5" w:rsidR="004141BD" w:rsidRDefault="00000000" w:rsidP="004141BD">
            <w:pPr>
              <w:rPr>
                <w:rFonts w:eastAsia="Times New Roman"/>
                <w:color w:val="000000"/>
              </w:rPr>
            </w:pPr>
            <w:hyperlink w:history="1">
              <w:r w:rsidR="00525F5D" w:rsidRPr="007A5F31">
                <w:rPr>
                  <w:rStyle w:val="Hyperlink"/>
                  <w:rFonts w:eastAsia="Times New Roman"/>
                </w:rPr>
                <w:t>Insights – Developing Children’s Literacy Skills (www.gov.ie)</w:t>
              </w:r>
            </w:hyperlink>
          </w:p>
          <w:p w14:paraId="5390CBC6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7ED2" w14:textId="77777777" w:rsidR="006A43A9" w:rsidRDefault="006A43A9">
      <w:pPr>
        <w:spacing w:after="0" w:line="240" w:lineRule="auto"/>
      </w:pPr>
      <w:r>
        <w:separator/>
      </w:r>
    </w:p>
  </w:endnote>
  <w:endnote w:type="continuationSeparator" w:id="0">
    <w:p w14:paraId="58EE94A9" w14:textId="77777777" w:rsidR="006A43A9" w:rsidRDefault="006A43A9">
      <w:pPr>
        <w:spacing w:after="0" w:line="240" w:lineRule="auto"/>
      </w:pPr>
      <w:r>
        <w:continuationSeparator/>
      </w:r>
    </w:p>
  </w:endnote>
  <w:endnote w:type="continuationNotice" w:id="1">
    <w:p w14:paraId="054C7B91" w14:textId="77777777" w:rsidR="006A43A9" w:rsidRDefault="006A4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28B2" w14:textId="77777777" w:rsidR="003D12DD" w:rsidRDefault="003D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96B6" w14:textId="77777777" w:rsidR="003D12DD" w:rsidRDefault="003D1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B500" w14:textId="77777777" w:rsidR="003D12DD" w:rsidRDefault="003D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3255" w14:textId="77777777" w:rsidR="006A43A9" w:rsidRDefault="006A43A9">
      <w:pPr>
        <w:spacing w:after="0" w:line="240" w:lineRule="auto"/>
      </w:pPr>
      <w:r>
        <w:separator/>
      </w:r>
    </w:p>
  </w:footnote>
  <w:footnote w:type="continuationSeparator" w:id="0">
    <w:p w14:paraId="70A3C653" w14:textId="77777777" w:rsidR="006A43A9" w:rsidRDefault="006A43A9">
      <w:pPr>
        <w:spacing w:after="0" w:line="240" w:lineRule="auto"/>
      </w:pPr>
      <w:r>
        <w:continuationSeparator/>
      </w:r>
    </w:p>
  </w:footnote>
  <w:footnote w:type="continuationNotice" w:id="1">
    <w:p w14:paraId="4DED7888" w14:textId="77777777" w:rsidR="006A43A9" w:rsidRDefault="006A4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D1B1" w14:textId="77777777" w:rsidR="003D12DD" w:rsidRDefault="003D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6960C5DE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2DD">
      <w:tab/>
    </w:r>
    <w:r w:rsidR="003D12DD">
      <w:tab/>
    </w:r>
    <w:r w:rsidR="003D12DD">
      <w:rPr>
        <w:noProof/>
      </w:rPr>
      <w:drawing>
        <wp:inline distT="0" distB="0" distL="0" distR="0" wp14:anchorId="4093B6E8" wp14:editId="7DDCB346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6565" w14:textId="77777777" w:rsidR="003D12DD" w:rsidRDefault="003D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54FD"/>
    <w:rsid w:val="0001690D"/>
    <w:rsid w:val="00022A45"/>
    <w:rsid w:val="00023E5C"/>
    <w:rsid w:val="000317BD"/>
    <w:rsid w:val="00036642"/>
    <w:rsid w:val="00063895"/>
    <w:rsid w:val="000851A1"/>
    <w:rsid w:val="000C7B15"/>
    <w:rsid w:val="000D4EA4"/>
    <w:rsid w:val="000D50B2"/>
    <w:rsid w:val="000E251A"/>
    <w:rsid w:val="00100F9D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295B"/>
    <w:rsid w:val="00143827"/>
    <w:rsid w:val="00152F9B"/>
    <w:rsid w:val="0016728D"/>
    <w:rsid w:val="00172A57"/>
    <w:rsid w:val="001820A4"/>
    <w:rsid w:val="0019727D"/>
    <w:rsid w:val="001A165F"/>
    <w:rsid w:val="001A473E"/>
    <w:rsid w:val="001A6819"/>
    <w:rsid w:val="001B71E8"/>
    <w:rsid w:val="001E229C"/>
    <w:rsid w:val="001F1104"/>
    <w:rsid w:val="001F2B47"/>
    <w:rsid w:val="001F3503"/>
    <w:rsid w:val="00201B77"/>
    <w:rsid w:val="0028119C"/>
    <w:rsid w:val="00294C14"/>
    <w:rsid w:val="002A3ED9"/>
    <w:rsid w:val="002B69F4"/>
    <w:rsid w:val="002C6D0D"/>
    <w:rsid w:val="002C7F95"/>
    <w:rsid w:val="002D44CF"/>
    <w:rsid w:val="00301C65"/>
    <w:rsid w:val="00306CE5"/>
    <w:rsid w:val="00307579"/>
    <w:rsid w:val="00315027"/>
    <w:rsid w:val="00332973"/>
    <w:rsid w:val="00367D59"/>
    <w:rsid w:val="003B7996"/>
    <w:rsid w:val="003D12DD"/>
    <w:rsid w:val="00406B34"/>
    <w:rsid w:val="004141BD"/>
    <w:rsid w:val="0042769A"/>
    <w:rsid w:val="00435DEA"/>
    <w:rsid w:val="00472F29"/>
    <w:rsid w:val="00473846"/>
    <w:rsid w:val="00480ADB"/>
    <w:rsid w:val="00487657"/>
    <w:rsid w:val="00494167"/>
    <w:rsid w:val="004E172A"/>
    <w:rsid w:val="004E657D"/>
    <w:rsid w:val="00511B6F"/>
    <w:rsid w:val="00525F5D"/>
    <w:rsid w:val="0053010C"/>
    <w:rsid w:val="00535A72"/>
    <w:rsid w:val="00541019"/>
    <w:rsid w:val="00545AA4"/>
    <w:rsid w:val="0055256F"/>
    <w:rsid w:val="00553700"/>
    <w:rsid w:val="00564BB1"/>
    <w:rsid w:val="0056559E"/>
    <w:rsid w:val="005748C9"/>
    <w:rsid w:val="00577DD1"/>
    <w:rsid w:val="00595442"/>
    <w:rsid w:val="005B32E0"/>
    <w:rsid w:val="005D6A85"/>
    <w:rsid w:val="005E5350"/>
    <w:rsid w:val="005F3BE4"/>
    <w:rsid w:val="0060101E"/>
    <w:rsid w:val="0061396D"/>
    <w:rsid w:val="00615757"/>
    <w:rsid w:val="00637036"/>
    <w:rsid w:val="00637BF9"/>
    <w:rsid w:val="00672AE2"/>
    <w:rsid w:val="00673F16"/>
    <w:rsid w:val="006753BA"/>
    <w:rsid w:val="006848E9"/>
    <w:rsid w:val="006A3C44"/>
    <w:rsid w:val="006A43A9"/>
    <w:rsid w:val="006A5211"/>
    <w:rsid w:val="006B31EE"/>
    <w:rsid w:val="006B3FB5"/>
    <w:rsid w:val="006D1267"/>
    <w:rsid w:val="006D1DDA"/>
    <w:rsid w:val="006F183F"/>
    <w:rsid w:val="006F3A03"/>
    <w:rsid w:val="0071206E"/>
    <w:rsid w:val="007310C1"/>
    <w:rsid w:val="007557D1"/>
    <w:rsid w:val="0076380D"/>
    <w:rsid w:val="00771048"/>
    <w:rsid w:val="00774217"/>
    <w:rsid w:val="0079538E"/>
    <w:rsid w:val="007B4D13"/>
    <w:rsid w:val="007E1A99"/>
    <w:rsid w:val="00801D6C"/>
    <w:rsid w:val="00811C12"/>
    <w:rsid w:val="0083351C"/>
    <w:rsid w:val="008452F2"/>
    <w:rsid w:val="00851C86"/>
    <w:rsid w:val="00875C9F"/>
    <w:rsid w:val="008A18A1"/>
    <w:rsid w:val="008B21F5"/>
    <w:rsid w:val="008C37BE"/>
    <w:rsid w:val="008C6424"/>
    <w:rsid w:val="008D6B1B"/>
    <w:rsid w:val="008E3079"/>
    <w:rsid w:val="008F7C8B"/>
    <w:rsid w:val="00905450"/>
    <w:rsid w:val="00905CE6"/>
    <w:rsid w:val="00920A77"/>
    <w:rsid w:val="009376AC"/>
    <w:rsid w:val="00943F05"/>
    <w:rsid w:val="009515EB"/>
    <w:rsid w:val="00966EC5"/>
    <w:rsid w:val="009A06A5"/>
    <w:rsid w:val="009A4BDB"/>
    <w:rsid w:val="009A57F7"/>
    <w:rsid w:val="009B287E"/>
    <w:rsid w:val="009C4885"/>
    <w:rsid w:val="009F386C"/>
    <w:rsid w:val="00A056BD"/>
    <w:rsid w:val="00A072A8"/>
    <w:rsid w:val="00A14302"/>
    <w:rsid w:val="00A14D6A"/>
    <w:rsid w:val="00A220CA"/>
    <w:rsid w:val="00A22617"/>
    <w:rsid w:val="00A3527B"/>
    <w:rsid w:val="00A46865"/>
    <w:rsid w:val="00A47D7B"/>
    <w:rsid w:val="00A66C75"/>
    <w:rsid w:val="00A85580"/>
    <w:rsid w:val="00A85B9F"/>
    <w:rsid w:val="00A869A4"/>
    <w:rsid w:val="00AA401B"/>
    <w:rsid w:val="00AB13E5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94AE1"/>
    <w:rsid w:val="00BB28E7"/>
    <w:rsid w:val="00BB50C2"/>
    <w:rsid w:val="00BD4556"/>
    <w:rsid w:val="00BD547F"/>
    <w:rsid w:val="00BD7B5B"/>
    <w:rsid w:val="00C01472"/>
    <w:rsid w:val="00C170F3"/>
    <w:rsid w:val="00C451D7"/>
    <w:rsid w:val="00C45B05"/>
    <w:rsid w:val="00C77C9F"/>
    <w:rsid w:val="00C92BE1"/>
    <w:rsid w:val="00C9567D"/>
    <w:rsid w:val="00CA5A1B"/>
    <w:rsid w:val="00CA6D11"/>
    <w:rsid w:val="00CC187C"/>
    <w:rsid w:val="00CD1C96"/>
    <w:rsid w:val="00CF46D8"/>
    <w:rsid w:val="00D30537"/>
    <w:rsid w:val="00D318E6"/>
    <w:rsid w:val="00D41653"/>
    <w:rsid w:val="00D4266D"/>
    <w:rsid w:val="00D525D5"/>
    <w:rsid w:val="00D579B7"/>
    <w:rsid w:val="00DA1112"/>
    <w:rsid w:val="00DB0C10"/>
    <w:rsid w:val="00DC6B88"/>
    <w:rsid w:val="00DD111F"/>
    <w:rsid w:val="00E035F9"/>
    <w:rsid w:val="00E03ED3"/>
    <w:rsid w:val="00E131D2"/>
    <w:rsid w:val="00E1742D"/>
    <w:rsid w:val="00E17EC6"/>
    <w:rsid w:val="00E561E3"/>
    <w:rsid w:val="00E61FE9"/>
    <w:rsid w:val="00E91D3A"/>
    <w:rsid w:val="00E946D5"/>
    <w:rsid w:val="00ED22AA"/>
    <w:rsid w:val="00EE10D2"/>
    <w:rsid w:val="00EE46E6"/>
    <w:rsid w:val="00EF0E27"/>
    <w:rsid w:val="00EF15CD"/>
    <w:rsid w:val="00F0089C"/>
    <w:rsid w:val="00F055BD"/>
    <w:rsid w:val="00F15961"/>
    <w:rsid w:val="00F16EE3"/>
    <w:rsid w:val="00F174DE"/>
    <w:rsid w:val="00F225BC"/>
    <w:rsid w:val="00F23DA7"/>
    <w:rsid w:val="00F3460F"/>
    <w:rsid w:val="00F3676D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istearsiolta.ie/en/nurturing-and-extending-interactions/resources-for-sharing/enhancing-language-3-6-years-.pdf" TargetMode="External"/><Relationship Id="rId26" Type="http://schemas.openxmlformats.org/officeDocument/2006/relationships/hyperlink" Target="https://www.aistearsiolta.ie/en/nurturing-and-extending-interactions/resources-for-sharing/inclusive-picture-books-2-5-6-years-.pdf" TargetMode="External"/><Relationship Id="rId39" Type="http://schemas.openxmlformats.org/officeDocument/2006/relationships/hyperlink" Target="https://ncca.ie/media/5615/enjoying-books-with-your-baby_ef-8.pdf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2.sv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hyperlink" Target="https://www.aistearsiolta.ie/en/nurturing-and-extending-interactions/self-evaluation-tools/self-evaluation-tool-nurturing-and-extending-birth-3-years-.pdf" TargetMode="External"/><Relationship Id="rId11" Type="http://schemas.openxmlformats.org/officeDocument/2006/relationships/hyperlink" Target="https://www.aistearsiolta.ie/en/aistear/communicating.pdf" TargetMode="External"/><Relationship Id="rId24" Type="http://schemas.openxmlformats.org/officeDocument/2006/relationships/hyperlink" Target="https://www.aistearsiolta.ie/en/nurturing-and-extending-interactions/resources-for-sharing/inclusive-picture-books-birth-18-months-.pdf" TargetMode="External"/><Relationship Id="rId32" Type="http://schemas.openxmlformats.org/officeDocument/2006/relationships/image" Target="media/image10.svg"/><Relationship Id="rId37" Type="http://schemas.openxmlformats.org/officeDocument/2006/relationships/image" Target="media/image13.png"/><Relationship Id="rId40" Type="http://schemas.openxmlformats.org/officeDocument/2006/relationships/hyperlink" Target="https://ncca.ie/media/5617/enjoying-books-with-your-toddler_ef7.pdf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creating-and-using-the-learning-environment/examples-and-ideas-for-practice/enjoying-books-in-a-variety-of-spaces.html" TargetMode="External"/><Relationship Id="rId28" Type="http://schemas.openxmlformats.org/officeDocument/2006/relationships/image" Target="media/image8.svg"/><Relationship Id="rId36" Type="http://schemas.openxmlformats.org/officeDocument/2006/relationships/hyperlink" Target="http://www.aistearsiolta.ie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istearsiolta.ie/en/nurturing-and-extending-interactions/resources-for-sharing/supporting-your-child-to-become-bilingual.pdf" TargetMode="External"/><Relationship Id="rId31" Type="http://schemas.openxmlformats.org/officeDocument/2006/relationships/image" Target="media/image9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6.svg"/><Relationship Id="rId27" Type="http://schemas.openxmlformats.org/officeDocument/2006/relationships/image" Target="media/image7.png"/><Relationship Id="rId30" Type="http://schemas.openxmlformats.org/officeDocument/2006/relationships/hyperlink" Target="https://www.aistearsiolta.ie/en/nurturing-and-extending-interactions/self-evaluation-tools/self-evaluation-tool-nurturing-and-extending-3-6-years-.pdf" TargetMode="External"/><Relationship Id="rId35" Type="http://schemas.openxmlformats.org/officeDocument/2006/relationships/hyperlink" Target="http://aistearsiolta.ie/en/Introduction/Action-planning-tool-for-Siolta-and-Aistear/Action-planning-tool-for-Siolta-and-Aistear.pdf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istearsiolta.ie/en/s-olta/5-interactions.pdf" TargetMode="External"/><Relationship Id="rId17" Type="http://schemas.openxmlformats.org/officeDocument/2006/relationships/hyperlink" Target="https://www.aistearsiolta.ie/en/nurturing-and-extending-interactions/resources-for-sharing/enhancing-language-0-3_.pdf" TargetMode="External"/><Relationship Id="rId25" Type="http://schemas.openxmlformats.org/officeDocument/2006/relationships/hyperlink" Target="https://www.aistearsiolta.ie/en/nurturing-and-extending-interactions/resources-for-sharing/inclusive-picture-books-1-3-years-.pdf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4.svg"/><Relationship Id="rId46" Type="http://schemas.openxmlformats.org/officeDocument/2006/relationships/header" Target="header3.xml"/><Relationship Id="rId20" Type="http://schemas.openxmlformats.org/officeDocument/2006/relationships/hyperlink" Target="https://www.aistearsiolta.ie/en/nurturing-and-extending-interactions/resources-for-sharing/introducing-irish-to-children-in-english-medium-settings-3-6-years-.pdf" TargetMode="External"/><Relationship Id="rId41" Type="http://schemas.openxmlformats.org/officeDocument/2006/relationships/hyperlink" Target="https://ncca.ie/media/5619/enjoying-books-with-young-children_ef-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46</cp:revision>
  <cp:lastPrinted>2021-04-28T13:17:00Z</cp:lastPrinted>
  <dcterms:created xsi:type="dcterms:W3CDTF">2022-12-06T15:55:00Z</dcterms:created>
  <dcterms:modified xsi:type="dcterms:W3CDTF">2024-06-18T12:20:00Z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