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402F" w14:textId="77777777" w:rsidR="00DD111F" w:rsidRDefault="00DD111F" w:rsidP="00DD11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442"/>
        <w:gridCol w:w="3261"/>
        <w:gridCol w:w="657"/>
      </w:tblGrid>
      <w:tr w:rsidR="00DD111F" w14:paraId="2E2EA56F" w14:textId="77777777" w:rsidTr="4DB8A01D">
        <w:trPr>
          <w:trHeight w:val="885"/>
        </w:trPr>
        <w:tc>
          <w:tcPr>
            <w:tcW w:w="9016" w:type="dxa"/>
            <w:gridSpan w:val="4"/>
            <w:shd w:val="clear" w:color="auto" w:fill="7030A0"/>
            <w:vAlign w:val="center"/>
          </w:tcPr>
          <w:p w14:paraId="31CD5B27" w14:textId="36BB6B7C" w:rsidR="00DD111F" w:rsidRPr="006F3B63" w:rsidRDefault="00DD111F" w:rsidP="00A22617">
            <w:pPr>
              <w:rPr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Topic: </w:t>
            </w:r>
            <w:r w:rsidR="005250C9">
              <w:rPr>
                <w:b/>
                <w:bCs/>
                <w:color w:val="FFFFFF" w:themeColor="background1"/>
                <w:sz w:val="40"/>
                <w:szCs w:val="40"/>
              </w:rPr>
              <w:t>Using and impl</w:t>
            </w:r>
            <w:r w:rsidR="00C90370">
              <w:rPr>
                <w:b/>
                <w:bCs/>
                <w:color w:val="FFFFFF" w:themeColor="background1"/>
                <w:sz w:val="40"/>
                <w:szCs w:val="40"/>
              </w:rPr>
              <w:t>eme</w:t>
            </w:r>
            <w:r w:rsidR="005250C9">
              <w:rPr>
                <w:b/>
                <w:bCs/>
                <w:color w:val="FFFFFF" w:themeColor="background1"/>
                <w:sz w:val="40"/>
                <w:szCs w:val="40"/>
              </w:rPr>
              <w:t xml:space="preserve">nting the Key Person Approach (Birth – 6 years) </w:t>
            </w:r>
          </w:p>
        </w:tc>
      </w:tr>
      <w:tr w:rsidR="00DD111F" w14:paraId="12BDEE4A" w14:textId="77777777" w:rsidTr="4DB8A01D">
        <w:trPr>
          <w:trHeight w:val="1274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7DC86753" w14:textId="77777777" w:rsidR="00A22617" w:rsidRDefault="00DD111F" w:rsidP="0083351C">
            <w:r>
              <w:t xml:space="preserve">Both </w:t>
            </w:r>
            <w:r w:rsidRPr="002F240B">
              <w:rPr>
                <w:i/>
                <w:iCs/>
              </w:rPr>
              <w:t xml:space="preserve">Aistear </w:t>
            </w:r>
            <w:r w:rsidRPr="002F240B">
              <w:t>and</w:t>
            </w:r>
            <w:r w:rsidRPr="002F240B">
              <w:rPr>
                <w:i/>
                <w:iCs/>
              </w:rPr>
              <w:t xml:space="preserve"> Síolta</w:t>
            </w:r>
            <w:r>
              <w:t xml:space="preserve"> highlight the </w:t>
            </w:r>
            <w:r w:rsidR="00301C65">
              <w:t xml:space="preserve"> importan</w:t>
            </w:r>
            <w:r w:rsidR="00C90370">
              <w:t>ce of consistent and stable relationships</w:t>
            </w:r>
            <w:r w:rsidR="00EF6306">
              <w:t xml:space="preserve"> in children’s lives</w:t>
            </w:r>
            <w:r w:rsidR="00D31890">
              <w:t xml:space="preserve"> to support their learning and development. </w:t>
            </w:r>
            <w:r w:rsidR="00AD1943">
              <w:t>A Key Person approach can be used to help children</w:t>
            </w:r>
            <w:r w:rsidR="00CF55D4">
              <w:t xml:space="preserve">, and their families, </w:t>
            </w:r>
            <w:r w:rsidR="00AD1943">
              <w:t xml:space="preserve"> to form secure attachments and build close relationships </w:t>
            </w:r>
            <w:r w:rsidR="00CF55D4">
              <w:t xml:space="preserve">within the early childhood setting. </w:t>
            </w:r>
          </w:p>
          <w:p w14:paraId="48FA4834" w14:textId="77777777" w:rsidR="00141D7D" w:rsidRDefault="00141D7D" w:rsidP="0083351C"/>
          <w:p w14:paraId="6E32178A" w14:textId="24FCC2D5" w:rsidR="00141D7D" w:rsidRDefault="00141D7D" w:rsidP="0083351C">
            <w:r>
              <w:t xml:space="preserve">In this short CPD session, you will learn  more about both the benefits of and the practicalities of implementing the Key Person approach. </w:t>
            </w:r>
          </w:p>
        </w:tc>
      </w:tr>
      <w:tr w:rsidR="00DD111F" w14:paraId="0C43DF16" w14:textId="77777777" w:rsidTr="4DB8A01D">
        <w:trPr>
          <w:trHeight w:val="1273"/>
        </w:trPr>
        <w:tc>
          <w:tcPr>
            <w:tcW w:w="5098" w:type="dxa"/>
            <w:gridSpan w:val="2"/>
            <w:tcBorders>
              <w:left w:val="nil"/>
              <w:right w:val="nil"/>
            </w:tcBorders>
          </w:tcPr>
          <w:p w14:paraId="1B6B48C1" w14:textId="77777777" w:rsidR="00DD111F" w:rsidRDefault="00DD111F" w:rsidP="00DC6B88">
            <w:pPr>
              <w:rPr>
                <w:b/>
                <w:bCs/>
                <w:i/>
                <w:iCs/>
              </w:rPr>
            </w:pPr>
          </w:p>
          <w:p w14:paraId="7DD2CC9B" w14:textId="77777777" w:rsidR="00DD111F" w:rsidRDefault="00DD111F" w:rsidP="00DC6B8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</w:t>
            </w:r>
            <w:r w:rsidRPr="00620BE0">
              <w:rPr>
                <w:b/>
                <w:bCs/>
                <w:i/>
                <w:iCs/>
              </w:rPr>
              <w:t>ey connections</w:t>
            </w:r>
          </w:p>
          <w:p w14:paraId="1B0054DD" w14:textId="1B655E3A" w:rsidR="00DD111F" w:rsidRPr="00D06A4F" w:rsidRDefault="00DD111F" w:rsidP="00DD111F">
            <w:pPr>
              <w:pStyle w:val="ListParagraph"/>
              <w:numPr>
                <w:ilvl w:val="0"/>
                <w:numId w:val="2"/>
              </w:numPr>
            </w:pPr>
            <w:r w:rsidRPr="00970011">
              <w:rPr>
                <w:i/>
                <w:iCs/>
              </w:rPr>
              <w:t>Aistear’s</w:t>
            </w:r>
            <w:r w:rsidRPr="00D06A4F">
              <w:t xml:space="preserve"> theme of </w:t>
            </w:r>
            <w:hyperlink r:id="rId11" w:history="1">
              <w:r w:rsidR="00B74C1F" w:rsidRPr="00B74C1F">
                <w:rPr>
                  <w:rStyle w:val="Hyperlink"/>
                </w:rPr>
                <w:t>Well-being</w:t>
              </w:r>
            </w:hyperlink>
            <w:r w:rsidR="00B74C1F">
              <w:t xml:space="preserve"> </w:t>
            </w:r>
          </w:p>
          <w:p w14:paraId="69A9F701" w14:textId="2DDCCA39" w:rsidR="00DD111F" w:rsidRDefault="00DD111F" w:rsidP="00654752">
            <w:pPr>
              <w:pStyle w:val="ListParagraph"/>
              <w:numPr>
                <w:ilvl w:val="0"/>
                <w:numId w:val="2"/>
              </w:numPr>
            </w:pPr>
            <w:r w:rsidRPr="0083351C">
              <w:rPr>
                <w:i/>
              </w:rPr>
              <w:t>Síolta</w:t>
            </w:r>
            <w:r w:rsidRPr="00D06A4F">
              <w:t xml:space="preserve"> </w:t>
            </w:r>
            <w:r w:rsidR="00D46E53">
              <w:t xml:space="preserve">standard of </w:t>
            </w:r>
            <w:hyperlink r:id="rId12" w:history="1">
              <w:r w:rsidR="00D46E53" w:rsidRPr="00E324BF">
                <w:rPr>
                  <w:rStyle w:val="Hyperlink"/>
                </w:rPr>
                <w:t>Interactions</w:t>
              </w:r>
            </w:hyperlink>
            <w:r w:rsidR="00D46E53">
              <w:t xml:space="preserve"> </w:t>
            </w:r>
          </w:p>
          <w:p w14:paraId="3875C997" w14:textId="77777777" w:rsidR="00DD111F" w:rsidRDefault="00DD111F" w:rsidP="00DC6B88"/>
          <w:p w14:paraId="19C372BC" w14:textId="77777777" w:rsidR="00DD111F" w:rsidRDefault="00DD111F" w:rsidP="00DC6B88"/>
          <w:p w14:paraId="7A1557B5" w14:textId="77777777" w:rsidR="00DD111F" w:rsidRDefault="00DD111F" w:rsidP="00DC6B88"/>
          <w:p w14:paraId="1FD2AA8D" w14:textId="77777777" w:rsidR="00DD111F" w:rsidRDefault="00DD111F" w:rsidP="00DC6B88"/>
          <w:p w14:paraId="6FE596FF" w14:textId="77777777" w:rsidR="00DD111F" w:rsidRDefault="00DD111F" w:rsidP="00DC6B88"/>
          <w:p w14:paraId="55DEA22E" w14:textId="77777777" w:rsidR="00DD111F" w:rsidRDefault="00DD111F" w:rsidP="00DC6B88"/>
          <w:p w14:paraId="5900AE21" w14:textId="77777777" w:rsidR="00DD111F" w:rsidRDefault="00DD111F" w:rsidP="00DC6B88"/>
          <w:p w14:paraId="0A2505A7" w14:textId="77777777" w:rsidR="00DD111F" w:rsidRDefault="00DD111F" w:rsidP="00DC6B88"/>
        </w:tc>
        <w:tc>
          <w:tcPr>
            <w:tcW w:w="3918" w:type="dxa"/>
            <w:gridSpan w:val="2"/>
            <w:tcBorders>
              <w:left w:val="nil"/>
              <w:right w:val="nil"/>
            </w:tcBorders>
            <w:vAlign w:val="center"/>
          </w:tcPr>
          <w:p w14:paraId="49568D17" w14:textId="77777777" w:rsidR="00DD111F" w:rsidRDefault="00DD111F" w:rsidP="00DC6B88">
            <w:pPr>
              <w:jc w:val="center"/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6F841" wp14:editId="150C4816">
                      <wp:simplePos x="0" y="0"/>
                      <wp:positionH relativeFrom="margin">
                        <wp:posOffset>787400</wp:posOffset>
                      </wp:positionH>
                      <wp:positionV relativeFrom="paragraph">
                        <wp:posOffset>17145</wp:posOffset>
                      </wp:positionV>
                      <wp:extent cx="1639570" cy="1590040"/>
                      <wp:effectExtent l="323850" t="0" r="17780" b="543560"/>
                      <wp:wrapNone/>
                      <wp:docPr id="6" name="Speech Bubble: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9570" cy="1590040"/>
                              </a:xfrm>
                              <a:prstGeom prst="wedgeRectCallout">
                                <a:avLst>
                                  <a:gd name="adj1" fmla="val -67156"/>
                                  <a:gd name="adj2" fmla="val 81380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BF18B9" w14:textId="4DDD31AC" w:rsidR="00DD111F" w:rsidRPr="00C9666E" w:rsidRDefault="00C9666E" w:rsidP="00DD11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C9666E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The Key Person </w:t>
                                  </w:r>
                                  <w:r w:rsidRPr="00C9666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is primarily responsible for creating a close relationship with the baby, toddler or young child and his/her family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6F84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6" o:spid="_x0000_s1026" type="#_x0000_t61" style="position:absolute;left:0;text-align:left;margin-left:62pt;margin-top:1.35pt;width:129.1pt;height:12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" adj="-3706,28378" fillcolor="#7030a0" strokecolor="#1f3763 [1604]" strokeweight="1pt">
                      <v:textbox>
                        <w:txbxContent>
                          <w:p w14:paraId="1ABF18B9" w14:textId="4DDD31AC" w:rsidR="00DD111F" w:rsidRPr="00C9666E" w:rsidRDefault="00C9666E" w:rsidP="00DD111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9666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The Key Person </w:t>
                            </w:r>
                            <w:r w:rsidRPr="00C966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is primarily responsible for creating a close relationship with the baby, toddler or young child and his/her family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6F98C1" w14:textId="77777777" w:rsidR="00DD111F" w:rsidRDefault="00DD111F" w:rsidP="00DC6B88">
            <w:pPr>
              <w:jc w:val="center"/>
            </w:pPr>
          </w:p>
        </w:tc>
      </w:tr>
      <w:tr w:rsidR="00DD111F" w14:paraId="2332BDD4" w14:textId="77777777" w:rsidTr="4DB8A01D">
        <w:tc>
          <w:tcPr>
            <w:tcW w:w="8359" w:type="dxa"/>
            <w:gridSpan w:val="3"/>
            <w:shd w:val="clear" w:color="auto" w:fill="7030A0"/>
          </w:tcPr>
          <w:p w14:paraId="22D20099" w14:textId="77777777" w:rsidR="00DD111F" w:rsidRPr="00D9536A" w:rsidRDefault="00DD111F" w:rsidP="00DC6B88">
            <w:pPr>
              <w:rPr>
                <w:color w:val="7030A0"/>
              </w:rPr>
            </w:pPr>
          </w:p>
        </w:tc>
        <w:tc>
          <w:tcPr>
            <w:tcW w:w="657" w:type="dxa"/>
          </w:tcPr>
          <w:p w14:paraId="6D6DAA7F" w14:textId="77777777" w:rsidR="00DD111F" w:rsidRDefault="00DD111F" w:rsidP="00DC6B88">
            <w:pPr>
              <w:jc w:val="center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2849F897" wp14:editId="1FCB4D65">
                  <wp:extent cx="194400" cy="194400"/>
                  <wp:effectExtent l="0" t="0" r="0" b="0"/>
                  <wp:docPr id="8" name="Graphic 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66E" w14:paraId="0DC71468" w14:textId="77777777" w:rsidTr="4DB8A01D">
        <w:tc>
          <w:tcPr>
            <w:tcW w:w="1656" w:type="dxa"/>
          </w:tcPr>
          <w:p w14:paraId="47D141CF" w14:textId="64190FE9" w:rsidR="00C9666E" w:rsidRDefault="00C9666E" w:rsidP="00DC6B88">
            <w:pPr>
              <w:jc w:val="center"/>
              <w:rPr>
                <w:noProof/>
                <w:lang w:val="en-IE" w:eastAsia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308446B2" wp14:editId="5D98E777">
                  <wp:extent cx="482400" cy="482400"/>
                  <wp:effectExtent l="0" t="0" r="0" b="0"/>
                  <wp:docPr id="3" name="Graphic 3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41D68F99" w14:textId="72CFA24D" w:rsidR="00C9666E" w:rsidRPr="00745771" w:rsidRDefault="00A079C8" w:rsidP="00294C14">
            <w:pPr>
              <w:rPr>
                <w:rFonts w:cstheme="minorHAnsi"/>
              </w:rPr>
            </w:pPr>
            <w:r>
              <w:t xml:space="preserve">In these early years children learn through loving, trusting and respectful relationships. </w:t>
            </w:r>
            <w:r w:rsidR="00FC7D5A">
              <w:t xml:space="preserve">One way of supporting this is my implementing the Key Person approach. </w:t>
            </w:r>
            <w:hyperlink r:id="rId17" w:history="1">
              <w:r w:rsidR="00770514" w:rsidRPr="00770514">
                <w:rPr>
                  <w:rStyle w:val="Hyperlink"/>
                </w:rPr>
                <w:t>This document</w:t>
              </w:r>
            </w:hyperlink>
            <w:r w:rsidR="00770514">
              <w:t xml:space="preserve"> </w:t>
            </w:r>
            <w:r w:rsidR="00B81A8F">
              <w:rPr>
                <w:rFonts w:cstheme="minorHAnsi"/>
              </w:rPr>
              <w:t>gives a good overview of</w:t>
            </w:r>
            <w:r w:rsidR="00B81A8F">
              <w:t xml:space="preserve"> the benefits of using a Key Person approach and highlights some considerations to be taken into account when organising this approach.</w:t>
            </w:r>
          </w:p>
        </w:tc>
        <w:tc>
          <w:tcPr>
            <w:tcW w:w="657" w:type="dxa"/>
          </w:tcPr>
          <w:p w14:paraId="5F4FA703" w14:textId="77777777" w:rsidR="00C9666E" w:rsidRDefault="00C9666E" w:rsidP="00DC6B88"/>
        </w:tc>
      </w:tr>
      <w:tr w:rsidR="00307579" w14:paraId="591570B3" w14:textId="77777777" w:rsidTr="4DB8A01D">
        <w:tc>
          <w:tcPr>
            <w:tcW w:w="1656" w:type="dxa"/>
          </w:tcPr>
          <w:p w14:paraId="52787FC2" w14:textId="783F8265" w:rsidR="00307579" w:rsidRDefault="00307579" w:rsidP="00DC6B88">
            <w:pPr>
              <w:jc w:val="center"/>
              <w:rPr>
                <w:noProof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377A5314" wp14:editId="4A75B8EF">
                  <wp:extent cx="554400" cy="554400"/>
                  <wp:effectExtent l="0" t="0" r="0" b="0"/>
                  <wp:docPr id="4" name="Graphic 4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3CA2258" w14:textId="2CFDD73E" w:rsidR="00367D59" w:rsidRPr="00745771" w:rsidRDefault="00090489" w:rsidP="00294C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this </w:t>
            </w:r>
            <w:hyperlink r:id="rId20" w:history="1">
              <w:r w:rsidRPr="00CD7573">
                <w:rPr>
                  <w:rStyle w:val="Hyperlink"/>
                  <w:rFonts w:cstheme="minorHAnsi"/>
                </w:rPr>
                <w:t xml:space="preserve"> </w:t>
              </w:r>
              <w:r w:rsidR="00FC7D5A">
                <w:rPr>
                  <w:rStyle w:val="Hyperlink"/>
                  <w:rFonts w:cstheme="minorHAnsi"/>
                </w:rPr>
                <w:t>two-</w:t>
              </w:r>
              <w:r w:rsidRPr="00CD7573">
                <w:rPr>
                  <w:rStyle w:val="Hyperlink"/>
                  <w:rFonts w:cstheme="minorHAnsi"/>
                </w:rPr>
                <w:t>minute video</w:t>
              </w:r>
            </w:hyperlink>
            <w:r>
              <w:rPr>
                <w:rFonts w:cstheme="minorHAnsi"/>
              </w:rPr>
              <w:t>, you will hear how one setting implements the Key Person approach across the entire setting</w:t>
            </w:r>
            <w:r w:rsidR="00CD7573">
              <w:rPr>
                <w:rFonts w:cstheme="minorHAnsi"/>
              </w:rPr>
              <w:t xml:space="preserve">. You will hear the perspectives of a room leader, setting manager and the owner of the setting. </w:t>
            </w:r>
          </w:p>
        </w:tc>
        <w:tc>
          <w:tcPr>
            <w:tcW w:w="657" w:type="dxa"/>
          </w:tcPr>
          <w:p w14:paraId="2C948740" w14:textId="77777777" w:rsidR="00307579" w:rsidRDefault="00307579" w:rsidP="00DC6B88"/>
        </w:tc>
      </w:tr>
      <w:tr w:rsidR="00637BF9" w14:paraId="2498BBAD" w14:textId="77777777" w:rsidTr="4DB8A01D">
        <w:tc>
          <w:tcPr>
            <w:tcW w:w="1656" w:type="dxa"/>
            <w:vAlign w:val="center"/>
          </w:tcPr>
          <w:p w14:paraId="61FA7104" w14:textId="3C527B90" w:rsidR="00637BF9" w:rsidRDefault="00637BF9" w:rsidP="00DC6B88">
            <w:pPr>
              <w:jc w:val="center"/>
              <w:rPr>
                <w:noProof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435B24CB" wp14:editId="73C99BAE">
                  <wp:extent cx="482400" cy="482400"/>
                  <wp:effectExtent l="0" t="0" r="0" b="0"/>
                  <wp:docPr id="2" name="Graphic 2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5FCE8AA1" w14:textId="326F00D1" w:rsidR="00A22617" w:rsidRDefault="00091BEB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One of the responsibilities of the Key Person is to support quality interactions with their key children.</w:t>
            </w:r>
            <w:r w:rsidR="0077051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1" w:history="1">
              <w:r w:rsidR="00770514" w:rsidRPr="00770514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This document</w:t>
              </w:r>
            </w:hyperlink>
            <w:r w:rsidR="0077051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give</w:t>
            </w:r>
            <w:r w:rsidR="0077051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examples of how to support quality interactions through everyday care routines. </w:t>
            </w:r>
          </w:p>
        </w:tc>
        <w:tc>
          <w:tcPr>
            <w:tcW w:w="657" w:type="dxa"/>
          </w:tcPr>
          <w:p w14:paraId="11A93D13" w14:textId="77777777" w:rsidR="00637BF9" w:rsidRDefault="00637BF9" w:rsidP="00DC6B88"/>
        </w:tc>
      </w:tr>
      <w:tr w:rsidR="00E324C7" w14:paraId="48AC0F0B" w14:textId="77777777" w:rsidTr="4DB8A01D">
        <w:tc>
          <w:tcPr>
            <w:tcW w:w="1656" w:type="dxa"/>
            <w:vAlign w:val="center"/>
          </w:tcPr>
          <w:p w14:paraId="2BE76BC3" w14:textId="7B41B742" w:rsidR="00E324C7" w:rsidRDefault="00E324C7" w:rsidP="00DC6B88">
            <w:pPr>
              <w:jc w:val="center"/>
              <w:rPr>
                <w:noProof/>
                <w:lang w:val="en-IE" w:eastAsia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23206B52" wp14:editId="2DC1E482">
                  <wp:extent cx="554400" cy="554400"/>
                  <wp:effectExtent l="0" t="0" r="0" b="0"/>
                  <wp:docPr id="7" name="Graphic 7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681DDA00" w14:textId="67307C3D" w:rsidR="00E324C7" w:rsidRDefault="00393651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hyperlink r:id="rId22" w:history="1">
              <w:r w:rsidR="00E324C7" w:rsidRPr="00D759D0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 xml:space="preserve">In this </w:t>
              </w:r>
              <w:r w:rsidR="00FC7D5A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two-</w:t>
              </w:r>
              <w:r w:rsidR="00E324C7" w:rsidRPr="00D759D0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minute video,</w:t>
              </w:r>
            </w:hyperlink>
            <w:r w:rsidR="00E324C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you will hear how one se</w:t>
            </w:r>
            <w:r w:rsidR="0086528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tting utilises the Key Person approach to build close relationships with families. </w:t>
            </w:r>
          </w:p>
        </w:tc>
        <w:tc>
          <w:tcPr>
            <w:tcW w:w="657" w:type="dxa"/>
          </w:tcPr>
          <w:p w14:paraId="5C411AC0" w14:textId="77777777" w:rsidR="00E324C7" w:rsidRDefault="00E324C7" w:rsidP="00DC6B88"/>
        </w:tc>
      </w:tr>
      <w:tr w:rsidR="00952B97" w14:paraId="5F16E4D6" w14:textId="77777777" w:rsidTr="4DB8A01D">
        <w:tc>
          <w:tcPr>
            <w:tcW w:w="1656" w:type="dxa"/>
            <w:vAlign w:val="center"/>
          </w:tcPr>
          <w:p w14:paraId="1835D601" w14:textId="6862AD02" w:rsidR="00952B97" w:rsidRDefault="00F806A0" w:rsidP="00DC6B88">
            <w:pPr>
              <w:jc w:val="center"/>
              <w:rPr>
                <w:noProof/>
                <w:lang w:val="en-IE" w:eastAsia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2C940C9B" wp14:editId="46B458D8">
                  <wp:extent cx="554400" cy="554400"/>
                  <wp:effectExtent l="0" t="0" r="0" b="0"/>
                  <wp:docPr id="9" name="Graphic 9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645FB117" w14:textId="4EE83095" w:rsidR="00952B97" w:rsidRDefault="00393651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hyperlink r:id="rId23" w:history="1">
              <w:r w:rsidR="00952B97" w:rsidRPr="00F806A0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 xml:space="preserve">This </w:t>
              </w:r>
              <w:r w:rsidR="00FC7D5A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four-</w:t>
              </w:r>
              <w:r w:rsidR="00952B97" w:rsidRPr="00F806A0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minute video</w:t>
              </w:r>
            </w:hyperlink>
            <w:r w:rsidR="00952B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gives some ideas and strategies for</w:t>
            </w:r>
            <w:r w:rsidR="00F806A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how the Key Person might</w:t>
            </w:r>
            <w:r w:rsidR="00952B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communicat</w:t>
            </w:r>
            <w:r w:rsidR="00F806A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e </w:t>
            </w:r>
            <w:r w:rsidR="00952B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with parents</w:t>
            </w:r>
            <w:r w:rsidR="00F806A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and families. </w:t>
            </w:r>
          </w:p>
        </w:tc>
        <w:tc>
          <w:tcPr>
            <w:tcW w:w="657" w:type="dxa"/>
          </w:tcPr>
          <w:p w14:paraId="46199932" w14:textId="77777777" w:rsidR="00952B97" w:rsidRDefault="00952B97" w:rsidP="00DC6B88"/>
        </w:tc>
      </w:tr>
      <w:tr w:rsidR="00F806A0" w14:paraId="14101C63" w14:textId="77777777" w:rsidTr="4DB8A01D">
        <w:tc>
          <w:tcPr>
            <w:tcW w:w="1656" w:type="dxa"/>
            <w:vAlign w:val="center"/>
          </w:tcPr>
          <w:p w14:paraId="29B0757E" w14:textId="46DD6E96" w:rsidR="00F806A0" w:rsidRPr="00AB66DD" w:rsidRDefault="00A42941" w:rsidP="00DC6B88">
            <w:pPr>
              <w:jc w:val="center"/>
              <w:rPr>
                <w:b/>
                <w:bCs/>
                <w:noProof/>
                <w:lang w:val="en-IE" w:eastAsia="en-IE"/>
              </w:rPr>
            </w:pPr>
            <w:r w:rsidRPr="00AB66DD">
              <w:rPr>
                <w:b/>
                <w:bCs/>
                <w:noProof/>
                <w:lang w:val="en-IE" w:eastAsia="en-IE"/>
              </w:rPr>
              <w:drawing>
                <wp:inline distT="0" distB="0" distL="0" distR="0" wp14:anchorId="37E8477C" wp14:editId="19FD9046">
                  <wp:extent cx="532737" cy="532737"/>
                  <wp:effectExtent l="0" t="0" r="1270" b="1270"/>
                  <wp:docPr id="10" name="Graphic 10" descr="Penci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Pencil outline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43" cy="54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00583741" w14:textId="31FD8AB0" w:rsidR="00F806A0" w:rsidRDefault="00A24F93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Finally, </w:t>
            </w:r>
            <w:r w:rsidR="00DC09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using element 1 of the self-evaluation tool,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you might like to take some time to </w:t>
            </w:r>
            <w:r w:rsidR="000A48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reflect on y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our own practice in </w:t>
            </w:r>
            <w:r w:rsidR="00B905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building relationships in your setting. </w:t>
            </w:r>
            <w:r w:rsidR="00DE346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1F7F1A39" w14:textId="6747C071" w:rsidR="00DC0972" w:rsidRPr="002D0404" w:rsidRDefault="002D0404" w:rsidP="00F23DA7">
            <w:pPr>
              <w:pStyle w:val="paragraph"/>
              <w:spacing w:before="0" w:beforeAutospacing="0" w:after="0" w:afterAutospacing="0"/>
              <w:textAlignment w:val="baseline"/>
              <w:rPr>
                <w:rStyle w:val="Hyperlink"/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/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HYPERLINK "https://www.aistearsiolta.ie/en/nurturing-and-extending-interactions/self-evaluation-tools/self-evaluation-tool-nurturing-and-extending-birth-3-years-.pdf" </w:instrTex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</w:p>
          <w:p w14:paraId="603B92BB" w14:textId="02D98D9D" w:rsidR="00DC0972" w:rsidRDefault="00DC0972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D0404">
              <w:rPr>
                <w:rStyle w:val="Hyperlink"/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The self-evaluation tool for babies and toddlers is here.</w:t>
            </w:r>
            <w:r w:rsidR="002D04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719830D9" w14:textId="683EF9CF" w:rsidR="00DC0972" w:rsidRDefault="00393651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hyperlink r:id="rId26" w:history="1">
              <w:r w:rsidR="00DC0972" w:rsidRPr="009E6FBE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The self-evaluation tool for young children in here.</w:t>
              </w:r>
            </w:hyperlink>
            <w:r w:rsidR="00DC09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7" w:type="dxa"/>
          </w:tcPr>
          <w:p w14:paraId="7696D902" w14:textId="77777777" w:rsidR="00F806A0" w:rsidRDefault="00F806A0" w:rsidP="00DC6B88"/>
        </w:tc>
      </w:tr>
    </w:tbl>
    <w:p w14:paraId="23F6C05A" w14:textId="46AE9780" w:rsidR="00DD111F" w:rsidRDefault="00DD111F" w:rsidP="00DD111F"/>
    <w:p w14:paraId="32F6EB48" w14:textId="45AD0492" w:rsidR="002D0404" w:rsidRDefault="002D0404" w:rsidP="00DD111F"/>
    <w:p w14:paraId="0E5516D8" w14:textId="77777777" w:rsidR="002D0404" w:rsidRDefault="002D0404" w:rsidP="00DD11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A165F" w14:paraId="329525E1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4C3DF557" w14:textId="77777777" w:rsidR="001A165F" w:rsidRPr="00D9536A" w:rsidRDefault="001A165F" w:rsidP="001A165F">
            <w:pPr>
              <w:tabs>
                <w:tab w:val="left" w:pos="1398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ab/>
            </w: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59ABE2BB" w14:textId="77777777" w:rsidR="001A165F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9536A">
              <w:rPr>
                <w:b/>
                <w:bCs/>
                <w:color w:val="FFFFFF" w:themeColor="background1"/>
                <w:sz w:val="24"/>
                <w:szCs w:val="24"/>
              </w:rPr>
              <w:t xml:space="preserve">My key reflections having viewed/read the above materials  </w:t>
            </w:r>
          </w:p>
          <w:p w14:paraId="3226175F" w14:textId="77777777" w:rsidR="001A165F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A5B5F84" w14:textId="77777777" w:rsidR="001A165F" w:rsidRPr="0000337C" w:rsidRDefault="001A165F" w:rsidP="001A165F">
            <w:pPr>
              <w:rPr>
                <w:color w:val="FFFFFF" w:themeColor="background1"/>
                <w:sz w:val="20"/>
                <w:szCs w:val="20"/>
              </w:rPr>
            </w:pPr>
            <w:r w:rsidRPr="0000337C">
              <w:rPr>
                <w:b/>
                <w:bCs/>
                <w:color w:val="FFFFFF" w:themeColor="background1"/>
                <w:sz w:val="20"/>
                <w:szCs w:val="20"/>
              </w:rPr>
              <w:t>Prompts for Reflection</w:t>
            </w:r>
            <w:r w:rsidRPr="0000337C">
              <w:rPr>
                <w:color w:val="FFFFFF" w:themeColor="background1"/>
                <w:sz w:val="20"/>
                <w:szCs w:val="20"/>
              </w:rPr>
              <w:t>: What is working well for you in this area? What are the challenges you have experienced in this area? What will you do differently in the future?</w:t>
            </w:r>
          </w:p>
          <w:p w14:paraId="7FF9F0BB" w14:textId="2FD6ACB2" w:rsidR="001A165F" w:rsidRPr="00D9536A" w:rsidRDefault="001A165F" w:rsidP="001A165F">
            <w:pPr>
              <w:rPr>
                <w:b/>
                <w:bCs/>
                <w:color w:val="FFFFFF" w:themeColor="background1"/>
              </w:rPr>
            </w:pPr>
          </w:p>
        </w:tc>
      </w:tr>
      <w:tr w:rsidR="001A165F" w14:paraId="42A20FCA" w14:textId="77777777" w:rsidTr="4DB8A01D">
        <w:tc>
          <w:tcPr>
            <w:tcW w:w="1696" w:type="dxa"/>
            <w:tcBorders>
              <w:bottom w:val="single" w:sz="4" w:space="0" w:color="auto"/>
            </w:tcBorders>
          </w:tcPr>
          <w:p w14:paraId="1EDAEA9A" w14:textId="77777777" w:rsidR="001A165F" w:rsidRDefault="001A165F" w:rsidP="001A165F"/>
          <w:p w14:paraId="4F66E2D2" w14:textId="77777777" w:rsidR="001A165F" w:rsidRDefault="001A165F" w:rsidP="001A165F"/>
          <w:p w14:paraId="39187A11" w14:textId="77777777" w:rsidR="001A165F" w:rsidRDefault="001A165F" w:rsidP="001A165F"/>
          <w:p w14:paraId="7B0FA79A" w14:textId="77777777" w:rsidR="001A165F" w:rsidRDefault="001A165F" w:rsidP="001A165F">
            <w:r>
              <w:rPr>
                <w:noProof/>
                <w:lang w:val="en-IE" w:eastAsia="en-IE"/>
              </w:rPr>
              <w:drawing>
                <wp:inline distT="0" distB="0" distL="0" distR="0" wp14:anchorId="0039BC2D" wp14:editId="48B977B8">
                  <wp:extent cx="914400" cy="914400"/>
                  <wp:effectExtent l="0" t="0" r="0" b="0"/>
                  <wp:docPr id="14" name="Graphic 14" descr="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DBF73" w14:textId="77777777" w:rsidR="001A165F" w:rsidRDefault="001A165F" w:rsidP="001A165F"/>
          <w:p w14:paraId="18C66609" w14:textId="77777777" w:rsidR="001A165F" w:rsidRDefault="001A165F" w:rsidP="001A165F"/>
          <w:p w14:paraId="0E453725" w14:textId="77777777" w:rsidR="001A165F" w:rsidRDefault="001A165F" w:rsidP="001A165F"/>
        </w:tc>
        <w:tc>
          <w:tcPr>
            <w:tcW w:w="7320" w:type="dxa"/>
          </w:tcPr>
          <w:p w14:paraId="1061520C" w14:textId="77777777" w:rsidR="001A165F" w:rsidRDefault="001A165F" w:rsidP="001A165F"/>
          <w:p w14:paraId="00955467" w14:textId="77777777" w:rsidR="001A165F" w:rsidRDefault="001A165F" w:rsidP="001A165F"/>
          <w:p w14:paraId="7BD3B62D" w14:textId="77777777" w:rsidR="001A165F" w:rsidRDefault="001A165F" w:rsidP="001A165F"/>
          <w:p w14:paraId="0400D67C" w14:textId="77777777" w:rsidR="001A165F" w:rsidRDefault="001A165F" w:rsidP="001A165F"/>
          <w:p w14:paraId="2F3114E9" w14:textId="77777777" w:rsidR="001A165F" w:rsidRDefault="001A165F" w:rsidP="001A165F"/>
          <w:p w14:paraId="08FBFB86" w14:textId="77777777" w:rsidR="001A165F" w:rsidRDefault="001A165F" w:rsidP="001A165F"/>
          <w:p w14:paraId="45ED0518" w14:textId="77777777" w:rsidR="001A165F" w:rsidRDefault="001A165F" w:rsidP="001A165F"/>
          <w:p w14:paraId="30E93326" w14:textId="77777777" w:rsidR="001A165F" w:rsidRDefault="001A165F" w:rsidP="001A165F"/>
          <w:p w14:paraId="7D5C12F1" w14:textId="77777777" w:rsidR="001A165F" w:rsidRDefault="001A165F" w:rsidP="001A165F"/>
          <w:p w14:paraId="504F9518" w14:textId="77777777" w:rsidR="001A165F" w:rsidRDefault="001A165F" w:rsidP="001A165F"/>
          <w:p w14:paraId="1817A924" w14:textId="77777777" w:rsidR="001A165F" w:rsidRDefault="001A165F" w:rsidP="001A165F"/>
          <w:p w14:paraId="5EC08160" w14:textId="77777777" w:rsidR="001A165F" w:rsidRDefault="001A165F" w:rsidP="001A165F"/>
          <w:p w14:paraId="1A301BAA" w14:textId="77777777" w:rsidR="001A165F" w:rsidRDefault="001A165F" w:rsidP="001A165F"/>
        </w:tc>
      </w:tr>
      <w:tr w:rsidR="001A165F" w14:paraId="42A7CDB2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5E4499B7" w14:textId="77777777" w:rsidR="001A165F" w:rsidRPr="00F7026A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010FC34E" w14:textId="77777777" w:rsidR="006B31EE" w:rsidRDefault="006B31EE" w:rsidP="006B31E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7026A">
              <w:rPr>
                <w:b/>
                <w:bCs/>
                <w:color w:val="FFFFFF" w:themeColor="background1"/>
                <w:sz w:val="24"/>
                <w:szCs w:val="24"/>
              </w:rPr>
              <w:t>An action I can take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. . .</w:t>
            </w:r>
          </w:p>
          <w:p w14:paraId="54C43DCF" w14:textId="77777777" w:rsidR="006B31EE" w:rsidRDefault="006B31EE" w:rsidP="006B31E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7840A11" w14:textId="4CC46DA2" w:rsidR="006B31EE" w:rsidRDefault="006B31EE" w:rsidP="006B31EE">
            <w:r w:rsidRPr="0000337C">
              <w:rPr>
                <w:b/>
                <w:bCs/>
                <w:color w:val="FFFFFF" w:themeColor="background1"/>
                <w:sz w:val="20"/>
                <w:szCs w:val="20"/>
              </w:rPr>
              <w:t>Prompts for Reflection</w:t>
            </w:r>
            <w:r w:rsidRPr="0000337C">
              <w:rPr>
                <w:color w:val="FFFFFF" w:themeColor="background1"/>
                <w:sz w:val="20"/>
                <w:szCs w:val="20"/>
              </w:rPr>
              <w:t xml:space="preserve">: </w:t>
            </w:r>
            <w:r w:rsidRPr="0000337C">
              <w:rPr>
                <w:color w:val="FFFFFF" w:themeColor="background1"/>
              </w:rPr>
              <w:t>Outline the changes you plan to make to your practice.</w:t>
            </w:r>
            <w:r w:rsidR="00332973">
              <w:rPr>
                <w:color w:val="FFFFFF" w:themeColor="background1"/>
              </w:rPr>
              <w:t xml:space="preserve"> How will these changes impact positively on children’s learning and development?</w:t>
            </w:r>
            <w:r w:rsidRPr="0000337C">
              <w:rPr>
                <w:color w:val="FFFFFF" w:themeColor="background1"/>
              </w:rPr>
              <w:t xml:space="preserve"> Think about the resources and supports you will </w:t>
            </w:r>
            <w:r w:rsidRPr="001F1104">
              <w:rPr>
                <w:color w:val="FFFFFF" w:themeColor="background1"/>
              </w:rPr>
              <w:t xml:space="preserve">need. </w:t>
            </w:r>
            <w:r w:rsidR="001F1104" w:rsidRPr="001F1104">
              <w:rPr>
                <w:color w:val="FFFFFF" w:themeColor="background1"/>
              </w:rPr>
              <w:t>What aspects of this work would you like to prioritise and focus on in the coming weeks?</w:t>
            </w:r>
          </w:p>
          <w:p w14:paraId="08C9D973" w14:textId="0E738707" w:rsidR="001A165F" w:rsidRPr="00F7026A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A165F" w14:paraId="2AB6C7A1" w14:textId="77777777" w:rsidTr="4DB8A01D">
        <w:tc>
          <w:tcPr>
            <w:tcW w:w="1696" w:type="dxa"/>
          </w:tcPr>
          <w:p w14:paraId="3A8AF2FE" w14:textId="77777777" w:rsidR="001A165F" w:rsidRDefault="001A165F" w:rsidP="001A165F"/>
          <w:p w14:paraId="7F98BF21" w14:textId="77777777" w:rsidR="001A165F" w:rsidRDefault="001A165F" w:rsidP="001A165F"/>
          <w:p w14:paraId="21E9526C" w14:textId="77777777" w:rsidR="001A165F" w:rsidRDefault="001A165F" w:rsidP="001A165F">
            <w:r>
              <w:rPr>
                <w:noProof/>
                <w:lang w:val="en-IE" w:eastAsia="en-IE"/>
              </w:rPr>
              <w:drawing>
                <wp:inline distT="0" distB="0" distL="0" distR="0" wp14:anchorId="62CA545A" wp14:editId="12030B3C">
                  <wp:extent cx="914400" cy="914400"/>
                  <wp:effectExtent l="0" t="0" r="0" b="0"/>
                  <wp:docPr id="13" name="Graphic 13" descr="Lightbulb and 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3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BAF69" w14:textId="77777777" w:rsidR="001A165F" w:rsidRDefault="001A165F" w:rsidP="001A165F"/>
          <w:p w14:paraId="4E550F22" w14:textId="77777777" w:rsidR="001A165F" w:rsidRDefault="001A165F" w:rsidP="001A165F"/>
          <w:p w14:paraId="303269D6" w14:textId="77777777" w:rsidR="001A165F" w:rsidRDefault="001A165F" w:rsidP="001A165F"/>
          <w:p w14:paraId="19131275" w14:textId="77777777" w:rsidR="001A165F" w:rsidRDefault="001A165F" w:rsidP="001A165F"/>
        </w:tc>
        <w:tc>
          <w:tcPr>
            <w:tcW w:w="7320" w:type="dxa"/>
          </w:tcPr>
          <w:p w14:paraId="0BB7D292" w14:textId="77777777" w:rsidR="001A165F" w:rsidRDefault="001A165F" w:rsidP="001A165F"/>
          <w:p w14:paraId="2615EA21" w14:textId="77777777" w:rsidR="001A165F" w:rsidRDefault="001A165F" w:rsidP="001A165F"/>
          <w:p w14:paraId="31C3CB95" w14:textId="77777777" w:rsidR="001A165F" w:rsidRDefault="001A165F" w:rsidP="001A165F"/>
          <w:p w14:paraId="3F65D391" w14:textId="77777777" w:rsidR="001A165F" w:rsidRDefault="001A165F" w:rsidP="001A165F"/>
          <w:p w14:paraId="4072439B" w14:textId="77777777" w:rsidR="001A165F" w:rsidRDefault="001A165F" w:rsidP="001A165F"/>
          <w:p w14:paraId="7A987AA8" w14:textId="77777777" w:rsidR="001A165F" w:rsidRDefault="001A165F" w:rsidP="001A165F"/>
          <w:p w14:paraId="46A667B5" w14:textId="77777777" w:rsidR="001A165F" w:rsidRDefault="001A165F" w:rsidP="001A165F"/>
          <w:p w14:paraId="78E55B26" w14:textId="77777777" w:rsidR="001A165F" w:rsidRDefault="001A165F" w:rsidP="001A165F"/>
          <w:p w14:paraId="11E6BD30" w14:textId="77777777" w:rsidR="001A165F" w:rsidRDefault="001A165F" w:rsidP="001A165F"/>
          <w:p w14:paraId="5BF4A1FE" w14:textId="77777777" w:rsidR="001A165F" w:rsidRDefault="001A165F" w:rsidP="001A165F"/>
          <w:p w14:paraId="52F77905" w14:textId="77777777" w:rsidR="001A165F" w:rsidRDefault="001A165F" w:rsidP="001A165F"/>
          <w:p w14:paraId="7AEA964B" w14:textId="730F842B" w:rsidR="001A165F" w:rsidRDefault="001A165F" w:rsidP="001A165F">
            <w:r>
              <w:t xml:space="preserve">Link to the Practice Guide’s </w:t>
            </w:r>
            <w:hyperlink r:id="rId31" w:history="1">
              <w:r w:rsidRPr="008A18A1">
                <w:rPr>
                  <w:rStyle w:val="Hyperlink"/>
                </w:rPr>
                <w:t>Aistear Síolta Action Planning Template</w:t>
              </w:r>
            </w:hyperlink>
            <w:r>
              <w:t xml:space="preserve"> </w:t>
            </w:r>
          </w:p>
          <w:p w14:paraId="1494C784" w14:textId="77777777" w:rsidR="001A165F" w:rsidRDefault="001A165F" w:rsidP="001A165F"/>
        </w:tc>
      </w:tr>
      <w:tr w:rsidR="00494167" w14:paraId="6E4102FA" w14:textId="77777777" w:rsidTr="00E151A4">
        <w:tc>
          <w:tcPr>
            <w:tcW w:w="9016" w:type="dxa"/>
            <w:gridSpan w:val="2"/>
          </w:tcPr>
          <w:p w14:paraId="2811068B" w14:textId="77777777" w:rsidR="00494167" w:rsidRDefault="00494167" w:rsidP="00494167"/>
          <w:p w14:paraId="3034DD16" w14:textId="77777777" w:rsidR="00494167" w:rsidRPr="00521171" w:rsidRDefault="00494167" w:rsidP="00494167">
            <w:pPr>
              <w:rPr>
                <w:rStyle w:val="Hyperlink"/>
                <w:sz w:val="24"/>
                <w:szCs w:val="24"/>
              </w:rPr>
            </w:pPr>
            <w:r w:rsidRPr="00521171">
              <w:rPr>
                <w:sz w:val="24"/>
                <w:szCs w:val="24"/>
              </w:rPr>
              <w:t xml:space="preserve">All of the above resources and many more are available on the </w:t>
            </w:r>
            <w:r w:rsidRPr="00521171">
              <w:rPr>
                <w:i/>
                <w:iCs/>
                <w:sz w:val="24"/>
                <w:szCs w:val="24"/>
              </w:rPr>
              <w:t>Aistear Síolta Practice Guide</w:t>
            </w:r>
            <w:r w:rsidRPr="00521171">
              <w:rPr>
                <w:sz w:val="24"/>
                <w:szCs w:val="24"/>
              </w:rPr>
              <w:t xml:space="preserve"> website at </w:t>
            </w:r>
            <w:hyperlink r:id="rId32" w:history="1">
              <w:r w:rsidRPr="00521171">
                <w:rPr>
                  <w:rStyle w:val="Hyperlink"/>
                  <w:sz w:val="24"/>
                  <w:szCs w:val="24"/>
                </w:rPr>
                <w:t>www.aistearsiolta.ie</w:t>
              </w:r>
            </w:hyperlink>
            <w:r>
              <w:rPr>
                <w:rStyle w:val="Hyperlink"/>
                <w:sz w:val="24"/>
                <w:szCs w:val="24"/>
              </w:rPr>
              <w:t xml:space="preserve"> </w:t>
            </w:r>
          </w:p>
          <w:p w14:paraId="77125F9E" w14:textId="77777777" w:rsidR="00494167" w:rsidRPr="00745771" w:rsidRDefault="00494167" w:rsidP="00494167">
            <w:pPr>
              <w:rPr>
                <w:rStyle w:val="Hyperlink"/>
                <w:sz w:val="24"/>
                <w:szCs w:val="24"/>
              </w:rPr>
            </w:pPr>
          </w:p>
          <w:p w14:paraId="16EB2D4F" w14:textId="67564677" w:rsidR="00494167" w:rsidRDefault="00494167" w:rsidP="00494167">
            <w:pPr>
              <w:jc w:val="center"/>
              <w:rPr>
                <w:sz w:val="24"/>
                <w:szCs w:val="24"/>
              </w:rPr>
            </w:pPr>
            <w:r w:rsidRPr="00521171">
              <w:rPr>
                <w:sz w:val="24"/>
                <w:szCs w:val="24"/>
              </w:rPr>
              <w:t>Thank you for visiting and using the Practice Guide.</w:t>
            </w:r>
          </w:p>
          <w:p w14:paraId="73DA2C94" w14:textId="13ED1272" w:rsidR="002D0404" w:rsidRDefault="002D0404" w:rsidP="00494167">
            <w:pPr>
              <w:jc w:val="center"/>
              <w:rPr>
                <w:sz w:val="24"/>
                <w:szCs w:val="24"/>
              </w:rPr>
            </w:pPr>
          </w:p>
          <w:p w14:paraId="08E94974" w14:textId="78B396CB" w:rsidR="002D0404" w:rsidRDefault="002D0404" w:rsidP="00494167">
            <w:pPr>
              <w:jc w:val="center"/>
              <w:rPr>
                <w:sz w:val="24"/>
                <w:szCs w:val="24"/>
              </w:rPr>
            </w:pPr>
          </w:p>
          <w:p w14:paraId="1CACD7AB" w14:textId="2DDA8095" w:rsidR="002D0404" w:rsidRDefault="002D0404" w:rsidP="00494167">
            <w:pPr>
              <w:jc w:val="center"/>
              <w:rPr>
                <w:sz w:val="24"/>
                <w:szCs w:val="24"/>
              </w:rPr>
            </w:pPr>
          </w:p>
          <w:p w14:paraId="32839638" w14:textId="77777777" w:rsidR="002D0404" w:rsidRPr="00351E64" w:rsidRDefault="002D0404" w:rsidP="00494167">
            <w:pPr>
              <w:jc w:val="center"/>
            </w:pPr>
          </w:p>
          <w:p w14:paraId="1D87652C" w14:textId="77777777" w:rsidR="00494167" w:rsidRDefault="00494167" w:rsidP="001A165F"/>
        </w:tc>
      </w:tr>
      <w:tr w:rsidR="00F225BC" w14:paraId="26CE59E4" w14:textId="77777777" w:rsidTr="00B579BB">
        <w:tc>
          <w:tcPr>
            <w:tcW w:w="9016" w:type="dxa"/>
            <w:gridSpan w:val="2"/>
            <w:shd w:val="clear" w:color="auto" w:fill="7030A0"/>
          </w:tcPr>
          <w:p w14:paraId="10DDC4AA" w14:textId="6462FE3C" w:rsidR="00F225BC" w:rsidRPr="00B579BB" w:rsidRDefault="00F225BC" w:rsidP="00F225BC">
            <w:pPr>
              <w:jc w:val="center"/>
              <w:rPr>
                <w:color w:val="FFFFFF" w:themeColor="background1"/>
              </w:rPr>
            </w:pPr>
            <w:r w:rsidRPr="00B579BB">
              <w:rPr>
                <w:color w:val="FFFFFF" w:themeColor="background1"/>
              </w:rPr>
              <w:lastRenderedPageBreak/>
              <w:t>Additional Support Materials</w:t>
            </w:r>
          </w:p>
        </w:tc>
      </w:tr>
      <w:tr w:rsidR="00F225BC" w14:paraId="4AA23888" w14:textId="77777777" w:rsidTr="00A86E8B">
        <w:tc>
          <w:tcPr>
            <w:tcW w:w="1696" w:type="dxa"/>
          </w:tcPr>
          <w:p w14:paraId="40571DAA" w14:textId="77777777" w:rsidR="00F225BC" w:rsidRDefault="00F225BC" w:rsidP="00A86E8B"/>
          <w:p w14:paraId="6919D999" w14:textId="77777777" w:rsidR="00F225BC" w:rsidRDefault="00F225BC" w:rsidP="00A86E8B"/>
          <w:p w14:paraId="1FBDB06E" w14:textId="05F19CB8" w:rsidR="00F225BC" w:rsidRDefault="00B579BB" w:rsidP="00A86E8B">
            <w:r>
              <w:rPr>
                <w:noProof/>
              </w:rPr>
              <w:drawing>
                <wp:inline distT="0" distB="0" distL="0" distR="0" wp14:anchorId="2115FE4F" wp14:editId="604FA6B2">
                  <wp:extent cx="914400" cy="914400"/>
                  <wp:effectExtent l="0" t="0" r="0" b="0"/>
                  <wp:docPr id="5" name="Graphic 5" descr="Cycle with peop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ycle with people with solid fill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62A60" w14:textId="77777777" w:rsidR="00F225BC" w:rsidRDefault="00F225BC" w:rsidP="00A86E8B"/>
          <w:p w14:paraId="12348A7B" w14:textId="6005EEF9" w:rsidR="00F225BC" w:rsidRDefault="00F225BC" w:rsidP="00A86E8B"/>
          <w:p w14:paraId="04B14FDA" w14:textId="77777777" w:rsidR="00F225BC" w:rsidRDefault="00F225BC" w:rsidP="00A86E8B"/>
          <w:p w14:paraId="21511665" w14:textId="77777777" w:rsidR="00F225BC" w:rsidRDefault="00F225BC" w:rsidP="00A86E8B"/>
        </w:tc>
        <w:tc>
          <w:tcPr>
            <w:tcW w:w="7320" w:type="dxa"/>
          </w:tcPr>
          <w:p w14:paraId="3ED4DD02" w14:textId="77777777" w:rsidR="00F225BC" w:rsidRDefault="00F225BC" w:rsidP="00A86E8B"/>
          <w:p w14:paraId="072F7809" w14:textId="3248941C" w:rsidR="00F225BC" w:rsidRDefault="00DB0C10" w:rsidP="00A86E8B">
            <w:r>
              <w:t xml:space="preserve">You might be interested in these additional support materials from National </w:t>
            </w:r>
            <w:r w:rsidRPr="00B94AE1">
              <w:rPr>
                <w:i/>
                <w:iCs/>
              </w:rPr>
              <w:t>Síolta</w:t>
            </w:r>
            <w:r>
              <w:t xml:space="preserve"> </w:t>
            </w:r>
            <w:r w:rsidRPr="00916282">
              <w:rPr>
                <w:i/>
                <w:iCs/>
                <w:lang w:val="en-IE"/>
              </w:rPr>
              <w:t>Aistear</w:t>
            </w:r>
            <w:r>
              <w:t xml:space="preserve"> Initiative Partners. </w:t>
            </w:r>
          </w:p>
          <w:p w14:paraId="431CB0BC" w14:textId="77777777" w:rsidR="00F225BC" w:rsidRDefault="00F225BC" w:rsidP="00A86E8B"/>
          <w:p w14:paraId="5F5A7269" w14:textId="77777777" w:rsidR="00393651" w:rsidRDefault="00393651" w:rsidP="00393651">
            <w:hyperlink r:id="rId35" w:history="1">
              <w:proofErr w:type="spellStart"/>
              <w:r w:rsidRPr="005F3008">
                <w:rPr>
                  <w:rStyle w:val="Hyperlink"/>
                </w:rPr>
                <w:t>Barnardos</w:t>
              </w:r>
              <w:proofErr w:type="spellEnd"/>
              <w:r w:rsidRPr="005F3008">
                <w:rPr>
                  <w:rStyle w:val="Hyperlink"/>
                </w:rPr>
                <w:t xml:space="preserve"> -The Key Person Approach: Positive Relationships with Children in the Early Years</w:t>
              </w:r>
            </w:hyperlink>
          </w:p>
          <w:p w14:paraId="3EB4F05E" w14:textId="77777777" w:rsidR="00F225BC" w:rsidRDefault="00F225BC" w:rsidP="00A86E8B"/>
          <w:p w14:paraId="3E761858" w14:textId="77777777" w:rsidR="00F225BC" w:rsidRDefault="00F225BC" w:rsidP="00A86E8B"/>
          <w:p w14:paraId="5390CBC6" w14:textId="77777777" w:rsidR="00F225BC" w:rsidRDefault="00F225BC" w:rsidP="00A86E8B"/>
          <w:p w14:paraId="74E642AB" w14:textId="77777777" w:rsidR="00F225BC" w:rsidRDefault="00F225BC" w:rsidP="00A86E8B"/>
          <w:p w14:paraId="40988EDC" w14:textId="77777777" w:rsidR="00F225BC" w:rsidRDefault="00F225BC" w:rsidP="00A86E8B"/>
          <w:p w14:paraId="37AD67C3" w14:textId="77777777" w:rsidR="00F225BC" w:rsidRDefault="00F225BC" w:rsidP="00A86E8B"/>
          <w:p w14:paraId="12727584" w14:textId="77777777" w:rsidR="00F225BC" w:rsidRDefault="00F225BC" w:rsidP="00A86E8B"/>
          <w:p w14:paraId="4C12FBFB" w14:textId="77777777" w:rsidR="00F225BC" w:rsidRDefault="00F225BC" w:rsidP="00A86E8B"/>
          <w:p w14:paraId="7B8579E5" w14:textId="0296618D" w:rsidR="00F225BC" w:rsidRDefault="00F225BC" w:rsidP="00B579BB"/>
        </w:tc>
      </w:tr>
    </w:tbl>
    <w:p w14:paraId="367A3175" w14:textId="0E492B5B" w:rsidR="00494167" w:rsidRPr="00BD4044" w:rsidRDefault="00494167" w:rsidP="00DD111F"/>
    <w:p w14:paraId="126BB9E3" w14:textId="723A0261" w:rsidR="00DD111F" w:rsidRPr="00BD4044" w:rsidRDefault="00DD111F" w:rsidP="00DD111F"/>
    <w:p w14:paraId="61C2DE83" w14:textId="77777777" w:rsidR="00DD111F" w:rsidRDefault="00DD111F" w:rsidP="00DD111F"/>
    <w:sectPr w:rsidR="00DD111F">
      <w:head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4EE8E" w14:textId="77777777" w:rsidR="00905450" w:rsidRDefault="00905450">
      <w:pPr>
        <w:spacing w:after="0" w:line="240" w:lineRule="auto"/>
      </w:pPr>
      <w:r>
        <w:separator/>
      </w:r>
    </w:p>
  </w:endnote>
  <w:endnote w:type="continuationSeparator" w:id="0">
    <w:p w14:paraId="65EF2CB0" w14:textId="77777777" w:rsidR="00905450" w:rsidRDefault="00905450">
      <w:pPr>
        <w:spacing w:after="0" w:line="240" w:lineRule="auto"/>
      </w:pPr>
      <w:r>
        <w:continuationSeparator/>
      </w:r>
    </w:p>
  </w:endnote>
  <w:endnote w:type="continuationNotice" w:id="1">
    <w:p w14:paraId="3C6D9639" w14:textId="77777777" w:rsidR="00905450" w:rsidRDefault="009054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790D6" w14:textId="77777777" w:rsidR="00905450" w:rsidRDefault="00905450">
      <w:pPr>
        <w:spacing w:after="0" w:line="240" w:lineRule="auto"/>
      </w:pPr>
      <w:r>
        <w:separator/>
      </w:r>
    </w:p>
  </w:footnote>
  <w:footnote w:type="continuationSeparator" w:id="0">
    <w:p w14:paraId="53CB76BD" w14:textId="77777777" w:rsidR="00905450" w:rsidRDefault="00905450">
      <w:pPr>
        <w:spacing w:after="0" w:line="240" w:lineRule="auto"/>
      </w:pPr>
      <w:r>
        <w:continuationSeparator/>
      </w:r>
    </w:p>
  </w:footnote>
  <w:footnote w:type="continuationNotice" w:id="1">
    <w:p w14:paraId="23EFFA57" w14:textId="77777777" w:rsidR="00905450" w:rsidRDefault="009054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866B" w14:textId="35BE4783" w:rsidR="00DC6B88" w:rsidRDefault="4DB8A01D">
    <w:pPr>
      <w:pStyle w:val="Header"/>
    </w:pPr>
    <w:r>
      <w:rPr>
        <w:noProof/>
        <w:lang w:val="en-IE" w:eastAsia="en-IE"/>
      </w:rPr>
      <w:drawing>
        <wp:inline distT="0" distB="0" distL="0" distR="0" wp14:anchorId="6037F5D0" wp14:editId="62DF7B5C">
          <wp:extent cx="1587504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1B9C">
      <w:tab/>
    </w:r>
    <w:r w:rsidR="00BB1B9C">
      <w:tab/>
    </w:r>
    <w:r w:rsidR="00BB1B9C">
      <w:rPr>
        <w:noProof/>
      </w:rPr>
      <w:drawing>
        <wp:inline distT="0" distB="0" distL="0" distR="0" wp14:anchorId="5FCA31AC" wp14:editId="6AE07F74">
          <wp:extent cx="2183642" cy="233219"/>
          <wp:effectExtent l="0" t="0" r="7620" b="0"/>
          <wp:docPr id="7365577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953" cy="259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7A6C"/>
    <w:multiLevelType w:val="hybridMultilevel"/>
    <w:tmpl w:val="A7BA3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A27FF1"/>
    <w:multiLevelType w:val="hybridMultilevel"/>
    <w:tmpl w:val="13CE0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7224862">
    <w:abstractNumId w:val="1"/>
  </w:num>
  <w:num w:numId="2" w16cid:durableId="7565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1F"/>
    <w:rsid w:val="0001690D"/>
    <w:rsid w:val="00023E5C"/>
    <w:rsid w:val="00036642"/>
    <w:rsid w:val="00063895"/>
    <w:rsid w:val="000851A1"/>
    <w:rsid w:val="00090489"/>
    <w:rsid w:val="00091BEB"/>
    <w:rsid w:val="000A48DD"/>
    <w:rsid w:val="000C7B15"/>
    <w:rsid w:val="000D4EA4"/>
    <w:rsid w:val="000E251A"/>
    <w:rsid w:val="00101E09"/>
    <w:rsid w:val="00104677"/>
    <w:rsid w:val="001065A6"/>
    <w:rsid w:val="00120B78"/>
    <w:rsid w:val="001222BD"/>
    <w:rsid w:val="00122B3C"/>
    <w:rsid w:val="00131969"/>
    <w:rsid w:val="00137920"/>
    <w:rsid w:val="00141D7D"/>
    <w:rsid w:val="001424A2"/>
    <w:rsid w:val="00143827"/>
    <w:rsid w:val="00154743"/>
    <w:rsid w:val="0016728D"/>
    <w:rsid w:val="00172A57"/>
    <w:rsid w:val="0017761B"/>
    <w:rsid w:val="001820A4"/>
    <w:rsid w:val="0019727D"/>
    <w:rsid w:val="001A165F"/>
    <w:rsid w:val="001A473E"/>
    <w:rsid w:val="001A6819"/>
    <w:rsid w:val="001E229C"/>
    <w:rsid w:val="001F1104"/>
    <w:rsid w:val="001F2B47"/>
    <w:rsid w:val="00201B77"/>
    <w:rsid w:val="00210C5A"/>
    <w:rsid w:val="00294C14"/>
    <w:rsid w:val="002C6D0D"/>
    <w:rsid w:val="002C7F95"/>
    <w:rsid w:val="002D0404"/>
    <w:rsid w:val="002D44CF"/>
    <w:rsid w:val="00301C65"/>
    <w:rsid w:val="00306CE5"/>
    <w:rsid w:val="00307579"/>
    <w:rsid w:val="00315027"/>
    <w:rsid w:val="00332973"/>
    <w:rsid w:val="00367D59"/>
    <w:rsid w:val="00393651"/>
    <w:rsid w:val="003B7996"/>
    <w:rsid w:val="0042769A"/>
    <w:rsid w:val="00435DEA"/>
    <w:rsid w:val="00472F29"/>
    <w:rsid w:val="00473846"/>
    <w:rsid w:val="00480ADB"/>
    <w:rsid w:val="00487657"/>
    <w:rsid w:val="00494167"/>
    <w:rsid w:val="004E657D"/>
    <w:rsid w:val="005250C9"/>
    <w:rsid w:val="0053010C"/>
    <w:rsid w:val="00535A72"/>
    <w:rsid w:val="00541019"/>
    <w:rsid w:val="00545AA4"/>
    <w:rsid w:val="0055256F"/>
    <w:rsid w:val="00553700"/>
    <w:rsid w:val="00564BB1"/>
    <w:rsid w:val="00595442"/>
    <w:rsid w:val="005B32E0"/>
    <w:rsid w:val="005D6A85"/>
    <w:rsid w:val="005E5350"/>
    <w:rsid w:val="005F3BE4"/>
    <w:rsid w:val="00615757"/>
    <w:rsid w:val="00637036"/>
    <w:rsid w:val="00637BF9"/>
    <w:rsid w:val="00672AE2"/>
    <w:rsid w:val="00673F16"/>
    <w:rsid w:val="006848E9"/>
    <w:rsid w:val="006A3C44"/>
    <w:rsid w:val="006A5211"/>
    <w:rsid w:val="006B31EE"/>
    <w:rsid w:val="006B3FB5"/>
    <w:rsid w:val="006D1267"/>
    <w:rsid w:val="006D1DDA"/>
    <w:rsid w:val="006D7025"/>
    <w:rsid w:val="006F183F"/>
    <w:rsid w:val="006F3A03"/>
    <w:rsid w:val="0071206E"/>
    <w:rsid w:val="007310C1"/>
    <w:rsid w:val="007557D1"/>
    <w:rsid w:val="0076380D"/>
    <w:rsid w:val="00770514"/>
    <w:rsid w:val="00774217"/>
    <w:rsid w:val="0079538E"/>
    <w:rsid w:val="007B4D13"/>
    <w:rsid w:val="007E1A99"/>
    <w:rsid w:val="00801D6C"/>
    <w:rsid w:val="00811C12"/>
    <w:rsid w:val="008137EE"/>
    <w:rsid w:val="0083351C"/>
    <w:rsid w:val="008408C2"/>
    <w:rsid w:val="008452F2"/>
    <w:rsid w:val="00865286"/>
    <w:rsid w:val="00875C9F"/>
    <w:rsid w:val="008A18A1"/>
    <w:rsid w:val="008B21F5"/>
    <w:rsid w:val="008C37BE"/>
    <w:rsid w:val="008C6424"/>
    <w:rsid w:val="008D6B1B"/>
    <w:rsid w:val="008E3079"/>
    <w:rsid w:val="00905450"/>
    <w:rsid w:val="00920A77"/>
    <w:rsid w:val="00943F05"/>
    <w:rsid w:val="009515EB"/>
    <w:rsid w:val="00952B97"/>
    <w:rsid w:val="009A57F7"/>
    <w:rsid w:val="009B287E"/>
    <w:rsid w:val="009E6FBE"/>
    <w:rsid w:val="009F386C"/>
    <w:rsid w:val="00A056BD"/>
    <w:rsid w:val="00A072A8"/>
    <w:rsid w:val="00A079C8"/>
    <w:rsid w:val="00A14302"/>
    <w:rsid w:val="00A14D6A"/>
    <w:rsid w:val="00A220CA"/>
    <w:rsid w:val="00A22617"/>
    <w:rsid w:val="00A24F93"/>
    <w:rsid w:val="00A41F97"/>
    <w:rsid w:val="00A42941"/>
    <w:rsid w:val="00A46865"/>
    <w:rsid w:val="00A47D7B"/>
    <w:rsid w:val="00A85B9F"/>
    <w:rsid w:val="00A869A4"/>
    <w:rsid w:val="00AB13E5"/>
    <w:rsid w:val="00AB66DD"/>
    <w:rsid w:val="00AC3846"/>
    <w:rsid w:val="00AD1943"/>
    <w:rsid w:val="00AE07E0"/>
    <w:rsid w:val="00AE52CC"/>
    <w:rsid w:val="00AE5754"/>
    <w:rsid w:val="00B02FCE"/>
    <w:rsid w:val="00B27CEC"/>
    <w:rsid w:val="00B55F83"/>
    <w:rsid w:val="00B579BB"/>
    <w:rsid w:val="00B57CCC"/>
    <w:rsid w:val="00B621AF"/>
    <w:rsid w:val="00B6634C"/>
    <w:rsid w:val="00B74C1F"/>
    <w:rsid w:val="00B77120"/>
    <w:rsid w:val="00B81A8F"/>
    <w:rsid w:val="00B90511"/>
    <w:rsid w:val="00B94AE1"/>
    <w:rsid w:val="00BB1B9C"/>
    <w:rsid w:val="00BB28E7"/>
    <w:rsid w:val="00BD4556"/>
    <w:rsid w:val="00BD547F"/>
    <w:rsid w:val="00C170F3"/>
    <w:rsid w:val="00C451D7"/>
    <w:rsid w:val="00C45B05"/>
    <w:rsid w:val="00C77C9F"/>
    <w:rsid w:val="00C90370"/>
    <w:rsid w:val="00C9567D"/>
    <w:rsid w:val="00C9666E"/>
    <w:rsid w:val="00CA6D11"/>
    <w:rsid w:val="00CD1C96"/>
    <w:rsid w:val="00CD7573"/>
    <w:rsid w:val="00CF46D8"/>
    <w:rsid w:val="00CF55D4"/>
    <w:rsid w:val="00D31890"/>
    <w:rsid w:val="00D41653"/>
    <w:rsid w:val="00D4266D"/>
    <w:rsid w:val="00D46E53"/>
    <w:rsid w:val="00D525D5"/>
    <w:rsid w:val="00D579B7"/>
    <w:rsid w:val="00D759D0"/>
    <w:rsid w:val="00DA1112"/>
    <w:rsid w:val="00DB0C10"/>
    <w:rsid w:val="00DC0972"/>
    <w:rsid w:val="00DC6B88"/>
    <w:rsid w:val="00DD111F"/>
    <w:rsid w:val="00DE346B"/>
    <w:rsid w:val="00E03ED3"/>
    <w:rsid w:val="00E131D2"/>
    <w:rsid w:val="00E17EC6"/>
    <w:rsid w:val="00E324BF"/>
    <w:rsid w:val="00E324C7"/>
    <w:rsid w:val="00E561E3"/>
    <w:rsid w:val="00E8754E"/>
    <w:rsid w:val="00E91D3A"/>
    <w:rsid w:val="00E946D5"/>
    <w:rsid w:val="00EC0AF1"/>
    <w:rsid w:val="00ED22AA"/>
    <w:rsid w:val="00EE10D2"/>
    <w:rsid w:val="00EE46E6"/>
    <w:rsid w:val="00EF0E27"/>
    <w:rsid w:val="00EF6306"/>
    <w:rsid w:val="00F0089C"/>
    <w:rsid w:val="00F055BD"/>
    <w:rsid w:val="00F15961"/>
    <w:rsid w:val="00F174DE"/>
    <w:rsid w:val="00F225BC"/>
    <w:rsid w:val="00F23DA7"/>
    <w:rsid w:val="00F3460F"/>
    <w:rsid w:val="00F3676D"/>
    <w:rsid w:val="00F65A25"/>
    <w:rsid w:val="00F806A0"/>
    <w:rsid w:val="00FC7D5A"/>
    <w:rsid w:val="00FD1D05"/>
    <w:rsid w:val="00FD365D"/>
    <w:rsid w:val="00FE3687"/>
    <w:rsid w:val="00FF4E56"/>
    <w:rsid w:val="4661A4D6"/>
    <w:rsid w:val="4DB8A01D"/>
    <w:rsid w:val="5A82F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F17F1"/>
  <w15:chartTrackingRefBased/>
  <w15:docId w15:val="{8B1E2712-D7EC-4640-8816-CAB61788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1F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B2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111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1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D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11F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DD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111F"/>
  </w:style>
  <w:style w:type="paragraph" w:styleId="BalloonText">
    <w:name w:val="Balloon Text"/>
    <w:basedOn w:val="Normal"/>
    <w:link w:val="BalloonTextChar"/>
    <w:uiPriority w:val="99"/>
    <w:semiHidden/>
    <w:unhideWhenUsed/>
    <w:rsid w:val="00DD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1F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F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3E5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0D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28E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74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hyperlink" Target="https://www.aistearsiolta.ie/en/nurturing-and-extending-interactions/self-evaluation-tools/self-evaluation-tool-nurturing-and-extending-3-6-years-.pdf" TargetMode="External"/><Relationship Id="rId21" Type="http://schemas.openxmlformats.org/officeDocument/2006/relationships/hyperlink" Target="https://www.aistearsiolta.ie/en/nurturing-and-extending-interactions/examples-and-ideas-for-practice/supporting-quality-interactions-through-everyday-care-routines.html" TargetMode="External"/><Relationship Id="rId34" Type="http://schemas.openxmlformats.org/officeDocument/2006/relationships/image" Target="media/image14.svg"/><Relationship Id="rId7" Type="http://schemas.openxmlformats.org/officeDocument/2006/relationships/settings" Target="settings.xml"/><Relationship Id="rId12" Type="http://schemas.openxmlformats.org/officeDocument/2006/relationships/hyperlink" Target="https://www.aistearsiolta.ie/en/s-olta/5-interactions.pdf" TargetMode="External"/><Relationship Id="rId17" Type="http://schemas.openxmlformats.org/officeDocument/2006/relationships/hyperlink" Target="https://www.aistearsiolta.ie/en/nurturing-and-extending-interactions/resources-for-sharing/using-a-key-person-approach.pdf" TargetMode="External"/><Relationship Id="rId25" Type="http://schemas.openxmlformats.org/officeDocument/2006/relationships/image" Target="media/image8.svg"/><Relationship Id="rId33" Type="http://schemas.openxmlformats.org/officeDocument/2006/relationships/image" Target="media/image13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www.aistearsiolta.ie/en/nurturing-and-extending-interactions/examples-and-ideas-for-practice/using-the-key-person-approach.html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stearsiolta.ie/en/aistear/well-being.pdf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://www.aistearsiolta.ie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aistearsiolta.ie/en/building-partnerships-with-parents/examples-and-ideas-for-practice/approaches-to-communicating-with-parents-and-families-birth-6-years.html" TargetMode="External"/><Relationship Id="rId28" Type="http://schemas.openxmlformats.org/officeDocument/2006/relationships/image" Target="media/image10.svg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6.svg"/><Relationship Id="rId31" Type="http://schemas.openxmlformats.org/officeDocument/2006/relationships/hyperlink" Target="http://aistearsiolta.ie/en/Introduction/Action-planning-tool-for-Siolta-and-Aistear/Action-planning-tool-for-Siolta-and-Aistear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hyperlink" Target="https://www.aistearsiolta.ie/en/building-partnerships-with-parents/examples-and-ideas-for-practice/building-close-relationships-with-families.html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2.svg"/><Relationship Id="rId35" Type="http://schemas.openxmlformats.org/officeDocument/2006/relationships/hyperlink" Target="https://hdl.handle.net/20.500.13085/188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9CB542D99924E8D58234FEB9EFC28" ma:contentTypeVersion="6" ma:contentTypeDescription="Create a new document." ma:contentTypeScope="" ma:versionID="e160cbf674133bf5f9c9087ed23644a9">
  <xsd:schema xmlns:xsd="http://www.w3.org/2001/XMLSchema" xmlns:xs="http://www.w3.org/2001/XMLSchema" xmlns:p="http://schemas.microsoft.com/office/2006/metadata/properties" xmlns:ns2="5408af21-b965-4dc8-a97c-ddd7b944f5db" xmlns:ns3="a11f0660-92c1-4371-af0b-86e7a21688e6" targetNamespace="http://schemas.microsoft.com/office/2006/metadata/properties" ma:root="true" ma:fieldsID="7c8473f00b3cfb3cdea462fa045c0e7d" ns2:_="" ns3:_="">
    <xsd:import namespace="5408af21-b965-4dc8-a97c-ddd7b944f5db"/>
    <xsd:import namespace="a11f0660-92c1-4371-af0b-86e7a2168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af21-b965-4dc8-a97c-ddd7b944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0660-92c1-4371-af0b-86e7a2168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f0660-92c1-4371-af0b-86e7a21688e6">
      <UserInfo>
        <DisplayName>Arlene Forster</DisplayName>
        <AccountId>20</AccountId>
        <AccountType/>
      </UserInfo>
      <UserInfo>
        <DisplayName>Jacqueline Fallon</DisplayName>
        <AccountId>14</AccountId>
        <AccountType/>
      </UserInfo>
      <UserInfo>
        <DisplayName>Mary Daly</DisplayName>
        <AccountId>19</AccountId>
        <AccountType/>
      </UserInfo>
      <UserInfo>
        <DisplayName>Jacinta Regan</DisplayName>
        <AccountId>41</AccountId>
        <AccountType/>
      </UserInfo>
      <UserInfo>
        <DisplayName>Derek Grant</DisplayName>
        <AccountId>21</AccountId>
        <AccountType/>
      </UserInfo>
      <UserInfo>
        <DisplayName>Lorraine Farrell</DisplayName>
        <AccountId>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4627C-26B6-4DF4-B73F-0DC73475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8af21-b965-4dc8-a97c-ddd7b944f5db"/>
    <ds:schemaRef ds:uri="a11f0660-92c1-4371-af0b-86e7a2168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B04DF-C76A-4D1F-9E8B-575CACC2CD5E}">
  <ds:schemaRefs>
    <ds:schemaRef ds:uri="5408af21-b965-4dc8-a97c-ddd7b944f5d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11f0660-92c1-4371-af0b-86e7a21688e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FD3729-A949-424B-8EE3-C4A07AFA46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B9C6CE-A5C0-449B-9754-B6FDD9204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Grant</dc:creator>
  <cp:keywords/>
  <dc:description/>
  <cp:lastModifiedBy>Lorraine Farrell</cp:lastModifiedBy>
  <cp:revision>42</cp:revision>
  <cp:lastPrinted>2021-04-28T13:17:00Z</cp:lastPrinted>
  <dcterms:created xsi:type="dcterms:W3CDTF">2022-12-06T15:07:00Z</dcterms:created>
  <dcterms:modified xsi:type="dcterms:W3CDTF">2024-06-18T12:29:00Z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0x0101005849CB542D99924E8D58234FEB9EFC28</vt:lpwstr>
  </property>
</Properties>
</file>