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13BDDADC" w:rsidR="00DD111F" w:rsidRPr="006F3B63" w:rsidRDefault="00DD111F" w:rsidP="00A22617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Topic: </w:t>
            </w:r>
            <w:r w:rsidR="00786026">
              <w:rPr>
                <w:b/>
                <w:bCs/>
                <w:color w:val="FFFFFF" w:themeColor="background1"/>
                <w:sz w:val="40"/>
                <w:szCs w:val="40"/>
              </w:rPr>
              <w:t xml:space="preserve">Supporting transitions </w:t>
            </w:r>
            <w:r w:rsidR="00BD5F04">
              <w:rPr>
                <w:b/>
                <w:bCs/>
                <w:color w:val="FFFFFF" w:themeColor="background1"/>
                <w:sz w:val="40"/>
                <w:szCs w:val="40"/>
              </w:rPr>
              <w:t>within the early childhood setting</w:t>
            </w:r>
            <w:r w:rsidR="00786026"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DD111F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46525CC" w14:textId="3CF85A9E" w:rsidR="00087E74" w:rsidRDefault="00DD111F" w:rsidP="0083351C">
            <w:r>
              <w:t xml:space="preserve">Both </w:t>
            </w:r>
            <w:r w:rsidRPr="002F240B">
              <w:rPr>
                <w:i/>
                <w:iCs/>
              </w:rPr>
              <w:t xml:space="preserve">Aistear </w:t>
            </w:r>
            <w:r w:rsidRPr="002F240B">
              <w:t>and</w:t>
            </w:r>
            <w:r w:rsidRPr="002F240B">
              <w:rPr>
                <w:i/>
                <w:iCs/>
              </w:rPr>
              <w:t xml:space="preserve"> Síolta</w:t>
            </w:r>
            <w:r>
              <w:t xml:space="preserve"> highlight </w:t>
            </w:r>
            <w:r w:rsidR="00C90A02">
              <w:t xml:space="preserve">the importance of supportive and </w:t>
            </w:r>
            <w:r w:rsidR="0001171A">
              <w:t xml:space="preserve">positive </w:t>
            </w:r>
            <w:r w:rsidR="00C90A02">
              <w:t xml:space="preserve">transitions in early childhood. </w:t>
            </w:r>
            <w:r w:rsidR="009A1BD2">
              <w:t>The transition</w:t>
            </w:r>
            <w:r w:rsidR="00640C2F">
              <w:t xml:space="preserve"> can happen</w:t>
            </w:r>
            <w:r w:rsidR="009A1BD2">
              <w:t xml:space="preserve"> from one room to another in a setting, or from one activity to another during the course of a day. Good relationships are key in ensuring all transitions happen as </w:t>
            </w:r>
            <w:r w:rsidR="0001171A">
              <w:t>positively</w:t>
            </w:r>
            <w:r w:rsidR="009A1BD2">
              <w:t xml:space="preserve"> as possible. </w:t>
            </w:r>
          </w:p>
          <w:p w14:paraId="73A0D939" w14:textId="77777777" w:rsidR="00640C2F" w:rsidRDefault="00640C2F" w:rsidP="0083351C"/>
          <w:p w14:paraId="6E32178A" w14:textId="4C5CD26C" w:rsidR="00087E74" w:rsidRDefault="00087E74" w:rsidP="0083351C">
            <w:r>
              <w:t>This short CPD</w:t>
            </w:r>
            <w:r w:rsidR="00F612B7">
              <w:t xml:space="preserve"> session</w:t>
            </w:r>
            <w:r>
              <w:t xml:space="preserve"> will help you to consider your practice in supporting transitions </w:t>
            </w:r>
            <w:r w:rsidR="00640C2F">
              <w:t xml:space="preserve">within </w:t>
            </w:r>
            <w:r>
              <w:t xml:space="preserve">your setting. </w:t>
            </w:r>
          </w:p>
        </w:tc>
      </w:tr>
      <w:tr w:rsidR="00DD111F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</w:p>
          <w:p w14:paraId="7DD2CC9B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</w:t>
            </w:r>
            <w:r w:rsidRPr="00620BE0">
              <w:rPr>
                <w:b/>
                <w:bCs/>
                <w:i/>
                <w:iCs/>
              </w:rPr>
              <w:t>ey connections</w:t>
            </w:r>
          </w:p>
          <w:p w14:paraId="1B0054DD" w14:textId="53CCFE67" w:rsidR="00DD111F" w:rsidRPr="00D06A4F" w:rsidRDefault="00DD111F" w:rsidP="00DD111F">
            <w:pPr>
              <w:pStyle w:val="ListParagraph"/>
              <w:numPr>
                <w:ilvl w:val="0"/>
                <w:numId w:val="2"/>
              </w:numPr>
            </w:pPr>
            <w:r w:rsidRPr="00970011">
              <w:rPr>
                <w:i/>
                <w:iCs/>
              </w:rPr>
              <w:t>Aistear’s</w:t>
            </w:r>
            <w:r w:rsidRPr="00D06A4F">
              <w:t xml:space="preserve"> theme of </w:t>
            </w:r>
            <w:hyperlink r:id="rId11" w:history="1">
              <w:r w:rsidR="00947662" w:rsidRPr="00917AEA">
                <w:rPr>
                  <w:rStyle w:val="Hyperlink"/>
                </w:rPr>
                <w:t>Well-being</w:t>
              </w:r>
            </w:hyperlink>
          </w:p>
          <w:p w14:paraId="69A9F701" w14:textId="6E839FEB" w:rsidR="00DD111F" w:rsidRDefault="00DD111F" w:rsidP="00654752">
            <w:pPr>
              <w:pStyle w:val="ListParagraph"/>
              <w:numPr>
                <w:ilvl w:val="0"/>
                <w:numId w:val="2"/>
              </w:numPr>
            </w:pPr>
            <w:r w:rsidRPr="0083351C">
              <w:rPr>
                <w:i/>
              </w:rPr>
              <w:t>Síolta</w:t>
            </w:r>
            <w:r w:rsidR="00947662">
              <w:rPr>
                <w:i/>
              </w:rPr>
              <w:t xml:space="preserve">’s </w:t>
            </w:r>
            <w:r w:rsidR="00947662">
              <w:rPr>
                <w:iCs/>
              </w:rPr>
              <w:t xml:space="preserve">Standard of </w:t>
            </w:r>
            <w:hyperlink r:id="rId12" w:history="1">
              <w:r w:rsidR="00947662" w:rsidRPr="0015636C">
                <w:rPr>
                  <w:rStyle w:val="Hyperlink"/>
                  <w:iCs/>
                </w:rPr>
                <w:t>Transitions</w:t>
              </w:r>
            </w:hyperlink>
            <w:r w:rsidR="00947662">
              <w:rPr>
                <w:iCs/>
              </w:rPr>
              <w:t xml:space="preserve"> </w:t>
            </w:r>
          </w:p>
          <w:p w14:paraId="3875C997" w14:textId="77777777" w:rsidR="00DD111F" w:rsidRDefault="00DD111F" w:rsidP="00DC6B88"/>
          <w:p w14:paraId="19C372BC" w14:textId="77777777" w:rsidR="00DD111F" w:rsidRDefault="00DD111F" w:rsidP="00DC6B88"/>
          <w:p w14:paraId="7A1557B5" w14:textId="77777777" w:rsidR="00DD111F" w:rsidRDefault="00DD111F" w:rsidP="00DC6B88"/>
          <w:p w14:paraId="1FD2AA8D" w14:textId="77777777" w:rsidR="00DD111F" w:rsidRDefault="00DD111F" w:rsidP="00DC6B88"/>
          <w:p w14:paraId="6FE596FF" w14:textId="77777777" w:rsidR="00DD111F" w:rsidRDefault="00DD111F" w:rsidP="00DC6B88"/>
          <w:p w14:paraId="55DEA22E" w14:textId="77777777" w:rsidR="00DD111F" w:rsidRDefault="00DD111F" w:rsidP="00DC6B88"/>
          <w:p w14:paraId="5900AE21" w14:textId="77777777" w:rsidR="00DD111F" w:rsidRDefault="00DD111F" w:rsidP="00DC6B88"/>
          <w:p w14:paraId="0A2505A7" w14:textId="77777777" w:rsidR="00DD111F" w:rsidRDefault="00DD111F" w:rsidP="00DC6B88"/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Default="00DD111F" w:rsidP="00DC6B8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47B8FBCB" w:rsidR="00DD111F" w:rsidRPr="00640C2F" w:rsidRDefault="00640C2F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40C2F">
                                    <w:rPr>
                                      <w:b/>
                                      <w:bCs/>
                                    </w:rPr>
                                    <w:t xml:space="preserve">Good relationships are key in ensuring all transitions happen as </w:t>
                                  </w:r>
                                  <w:r w:rsidR="00F612B7">
                                    <w:rPr>
                                      <w:b/>
                                      <w:bCs/>
                                    </w:rPr>
                                    <w:t>positively</w:t>
                                  </w:r>
                                  <w:r w:rsidRPr="00640C2F">
                                    <w:rPr>
                                      <w:b/>
                                      <w:bCs/>
                                    </w:rPr>
                                    <w:t xml:space="preserve"> as possible.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47B8FBCB" w:rsidR="00DD111F" w:rsidRPr="00640C2F" w:rsidRDefault="00640C2F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40C2F">
                              <w:rPr>
                                <w:b/>
                                <w:bCs/>
                              </w:rPr>
                              <w:t xml:space="preserve">Good relationships are key in ensuring all transitions happen as </w:t>
                            </w:r>
                            <w:r w:rsidR="00F612B7">
                              <w:rPr>
                                <w:b/>
                                <w:bCs/>
                              </w:rPr>
                              <w:t>positively</w:t>
                            </w:r>
                            <w:r w:rsidRPr="00640C2F">
                              <w:rPr>
                                <w:b/>
                                <w:bCs/>
                              </w:rPr>
                              <w:t xml:space="preserve"> as possible.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Default="00DD111F" w:rsidP="00DC6B88">
            <w:pPr>
              <w:jc w:val="center"/>
            </w:pPr>
          </w:p>
        </w:tc>
      </w:tr>
      <w:tr w:rsidR="00DD111F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D9536A" w:rsidRDefault="00DD111F" w:rsidP="00DC6B88">
            <w:pPr>
              <w:rPr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Default="00DD111F" w:rsidP="00DC6B88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6C" w14:paraId="492A10FC" w14:textId="77777777" w:rsidTr="4DB8A01D">
        <w:tc>
          <w:tcPr>
            <w:tcW w:w="1656" w:type="dxa"/>
          </w:tcPr>
          <w:p w14:paraId="55A034F1" w14:textId="708C5ACD" w:rsidR="0015636C" w:rsidRDefault="0015636C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53844DFA" wp14:editId="15B0520E">
                  <wp:extent cx="482400" cy="482400"/>
                  <wp:effectExtent l="0" t="0" r="0" b="0"/>
                  <wp:docPr id="3" name="Graphic 3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E1BE341" w14:textId="6A245966" w:rsidR="0015636C" w:rsidRPr="008A419D" w:rsidRDefault="008539A5" w:rsidP="00294C14">
            <w:pPr>
              <w:rPr>
                <w:rFonts w:cstheme="minorHAnsi"/>
              </w:rPr>
            </w:pPr>
            <w:r>
              <w:t xml:space="preserve">Supporting Transitions is one of the pillars of the </w:t>
            </w:r>
            <w:r w:rsidRPr="005138DF">
              <w:rPr>
                <w:i/>
                <w:iCs/>
                <w:lang w:val="en-IE"/>
              </w:rPr>
              <w:t>Aistear</w:t>
            </w:r>
            <w:r w:rsidRPr="005138DF">
              <w:rPr>
                <w:i/>
                <w:iCs/>
              </w:rPr>
              <w:t xml:space="preserve"> Síolta</w:t>
            </w:r>
            <w:r>
              <w:t xml:space="preserve"> Practice Guide. </w:t>
            </w:r>
            <w:hyperlink r:id="rId17" w:history="1">
              <w:r w:rsidR="007A6B69" w:rsidRPr="008A419D">
                <w:rPr>
                  <w:rStyle w:val="Hyperlink"/>
                  <w:rFonts w:cstheme="minorHAnsi"/>
                </w:rPr>
                <w:t>This document</w:t>
              </w:r>
            </w:hyperlink>
            <w:r w:rsidR="007A6B69" w:rsidRPr="008A419D">
              <w:rPr>
                <w:rFonts w:cstheme="minorHAnsi"/>
              </w:rPr>
              <w:t xml:space="preserve"> gives an overview of supporting and managing transitions that are </w:t>
            </w:r>
            <w:r w:rsidR="008B5457">
              <w:rPr>
                <w:rFonts w:cstheme="minorHAnsi"/>
              </w:rPr>
              <w:t>positive</w:t>
            </w:r>
            <w:r w:rsidR="007A6B69" w:rsidRPr="008A419D">
              <w:rPr>
                <w:rFonts w:cstheme="minorHAnsi"/>
              </w:rPr>
              <w:t xml:space="preserve"> and consistent for children </w:t>
            </w:r>
            <w:r w:rsidR="00B32CD2">
              <w:rPr>
                <w:rFonts w:cstheme="minorHAnsi"/>
              </w:rPr>
              <w:t xml:space="preserve">within their early childhood setting. </w:t>
            </w:r>
            <w:r w:rsidR="007A6B69" w:rsidRPr="008A419D">
              <w:rPr>
                <w:rFonts w:cstheme="minorHAnsi"/>
              </w:rPr>
              <w:t xml:space="preserve"> </w:t>
            </w:r>
          </w:p>
        </w:tc>
        <w:tc>
          <w:tcPr>
            <w:tcW w:w="657" w:type="dxa"/>
          </w:tcPr>
          <w:p w14:paraId="0EEA2F6D" w14:textId="77777777" w:rsidR="0015636C" w:rsidRDefault="0015636C" w:rsidP="00DC6B88"/>
        </w:tc>
      </w:tr>
      <w:tr w:rsidR="00307579" w14:paraId="591570B3" w14:textId="77777777" w:rsidTr="4DB8A01D">
        <w:tc>
          <w:tcPr>
            <w:tcW w:w="1656" w:type="dxa"/>
          </w:tcPr>
          <w:p w14:paraId="52787FC2" w14:textId="783F8265" w:rsidR="00307579" w:rsidRDefault="00307579" w:rsidP="00DC6B88">
            <w:pPr>
              <w:jc w:val="center"/>
              <w:rPr>
                <w:noProof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146F8E4E" w:rsidR="00367D59" w:rsidRPr="008A419D" w:rsidRDefault="00EC6652" w:rsidP="00294C14">
            <w:pPr>
              <w:rPr>
                <w:rFonts w:cstheme="minorHAnsi"/>
              </w:rPr>
            </w:pPr>
            <w:r>
              <w:t xml:space="preserve">Changes like moving to a new room, are important and </w:t>
            </w:r>
            <w:r w:rsidR="00764F67">
              <w:t xml:space="preserve">should be </w:t>
            </w:r>
            <w:r>
              <w:t>planned for carefully and implemented gradually.</w:t>
            </w:r>
            <w:r w:rsidRPr="008A419D">
              <w:rPr>
                <w:rFonts w:cstheme="minorHAnsi"/>
              </w:rPr>
              <w:t xml:space="preserve"> </w:t>
            </w:r>
            <w:r w:rsidR="006F4277" w:rsidRPr="008A419D">
              <w:rPr>
                <w:rFonts w:cstheme="minorHAnsi"/>
              </w:rPr>
              <w:t>In this</w:t>
            </w:r>
            <w:hyperlink r:id="rId20" w:history="1">
              <w:r w:rsidR="006F4277" w:rsidRPr="00C908C5">
                <w:rPr>
                  <w:rStyle w:val="Hyperlink"/>
                  <w:rFonts w:cstheme="minorHAnsi"/>
                </w:rPr>
                <w:t xml:space="preserve"> </w:t>
              </w:r>
              <w:r w:rsidR="00764F67">
                <w:rPr>
                  <w:rStyle w:val="Hyperlink"/>
                  <w:rFonts w:cstheme="minorHAnsi"/>
                </w:rPr>
                <w:t>two-</w:t>
              </w:r>
              <w:r w:rsidR="006F4277" w:rsidRPr="00C908C5">
                <w:rPr>
                  <w:rStyle w:val="Hyperlink"/>
                  <w:rFonts w:cstheme="minorHAnsi"/>
                </w:rPr>
                <w:t>minute video</w:t>
              </w:r>
            </w:hyperlink>
            <w:r w:rsidR="006F4277" w:rsidRPr="008A419D">
              <w:rPr>
                <w:rFonts w:cstheme="minorHAnsi"/>
              </w:rPr>
              <w:t xml:space="preserve">, we hear from </w:t>
            </w:r>
            <w:r w:rsidR="00764F67">
              <w:rPr>
                <w:rFonts w:cstheme="minorHAnsi"/>
              </w:rPr>
              <w:t xml:space="preserve">one </w:t>
            </w:r>
            <w:r w:rsidR="00C908C5">
              <w:rPr>
                <w:rFonts w:cstheme="minorHAnsi"/>
              </w:rPr>
              <w:t>e</w:t>
            </w:r>
            <w:r w:rsidR="00C908C5">
              <w:t xml:space="preserve">arly years educator on his approach to </w:t>
            </w:r>
            <w:r w:rsidR="008B5457">
              <w:t>supporting children to transition</w:t>
            </w:r>
            <w:r w:rsidR="00C908C5">
              <w:t xml:space="preserve"> from one room to another within his early childhood setting. </w:t>
            </w:r>
            <w:r w:rsidR="007D50A6" w:rsidRPr="008A419D">
              <w:rPr>
                <w:rFonts w:cstheme="minorHAnsi"/>
              </w:rPr>
              <w:t xml:space="preserve"> </w:t>
            </w:r>
          </w:p>
        </w:tc>
        <w:tc>
          <w:tcPr>
            <w:tcW w:w="657" w:type="dxa"/>
          </w:tcPr>
          <w:p w14:paraId="2C948740" w14:textId="77777777" w:rsidR="00307579" w:rsidRDefault="00307579" w:rsidP="00DC6B88"/>
        </w:tc>
      </w:tr>
      <w:tr w:rsidR="00C96191" w14:paraId="00027C2E" w14:textId="77777777" w:rsidTr="4DB8A01D">
        <w:tc>
          <w:tcPr>
            <w:tcW w:w="1656" w:type="dxa"/>
            <w:vAlign w:val="center"/>
          </w:tcPr>
          <w:p w14:paraId="439CF5A0" w14:textId="6F888AB8" w:rsidR="00C96191" w:rsidRDefault="00C96191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43E94D3" wp14:editId="4FE056B7">
                  <wp:extent cx="482400" cy="482400"/>
                  <wp:effectExtent l="0" t="0" r="0" b="0"/>
                  <wp:docPr id="10" name="Graphic 10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787C9CC" w14:textId="1B4D3F01" w:rsidR="00C96191" w:rsidRDefault="0061401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role of the Key Person is important is planning for and supporting these transitions. </w:t>
            </w:r>
            <w:hyperlink r:id="rId21" w:history="1">
              <w:r w:rsidRPr="008B28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Learn more about this role here.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</w:tcPr>
          <w:p w14:paraId="2F558CAC" w14:textId="77777777" w:rsidR="00C96191" w:rsidRDefault="00C96191" w:rsidP="00DC6B88"/>
        </w:tc>
      </w:tr>
      <w:tr w:rsidR="008E0E3C" w14:paraId="57E2879C" w14:textId="77777777" w:rsidTr="4DB8A01D">
        <w:tc>
          <w:tcPr>
            <w:tcW w:w="1656" w:type="dxa"/>
            <w:vAlign w:val="center"/>
          </w:tcPr>
          <w:p w14:paraId="2671BE5F" w14:textId="09FDB044" w:rsidR="008E0E3C" w:rsidRDefault="00934B33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45FE88F" wp14:editId="4E699735">
                  <wp:extent cx="482400" cy="482400"/>
                  <wp:effectExtent l="0" t="0" r="0" b="0"/>
                  <wp:docPr id="11" name="Graphic 11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4A0FCE1" w14:textId="1DCC1A89" w:rsidR="008E0E3C" w:rsidRDefault="00934B33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experience many transitions throughout the day including nappy changing, going outside and </w:t>
            </w:r>
            <w:r w:rsidR="00AD0F39">
              <w:rPr>
                <w:rFonts w:asciiTheme="minorHAnsi" w:hAnsiTheme="minorHAnsi" w:cstheme="minorHAnsi"/>
                <w:sz w:val="22"/>
                <w:szCs w:val="22"/>
              </w:rPr>
              <w:t>mealtimes</w:t>
            </w:r>
            <w:hyperlink r:id="rId22" w:history="1">
              <w:r w:rsidR="00AD0F39" w:rsidRPr="008B54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. This </w:t>
              </w:r>
              <w:r w:rsidR="008B5457" w:rsidRPr="008B54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document</w:t>
              </w:r>
            </w:hyperlink>
            <w:r w:rsidR="00AD0F39">
              <w:rPr>
                <w:rFonts w:asciiTheme="minorHAnsi" w:hAnsiTheme="minorHAnsi" w:cstheme="minorHAnsi"/>
                <w:sz w:val="22"/>
                <w:szCs w:val="22"/>
              </w:rPr>
              <w:t xml:space="preserve"> will help you to consider your interactions with children during these times of transition. </w:t>
            </w:r>
          </w:p>
        </w:tc>
        <w:tc>
          <w:tcPr>
            <w:tcW w:w="657" w:type="dxa"/>
          </w:tcPr>
          <w:p w14:paraId="5F1230AF" w14:textId="77777777" w:rsidR="008E0E3C" w:rsidRDefault="008E0E3C" w:rsidP="00DC6B88"/>
        </w:tc>
      </w:tr>
      <w:tr w:rsidR="007365FA" w14:paraId="506A429F" w14:textId="77777777" w:rsidTr="4DB8A01D">
        <w:tc>
          <w:tcPr>
            <w:tcW w:w="1656" w:type="dxa"/>
            <w:vAlign w:val="center"/>
          </w:tcPr>
          <w:p w14:paraId="4E0A36A7" w14:textId="178AB35E" w:rsidR="007365FA" w:rsidRDefault="007365FA" w:rsidP="00DC6B88">
            <w:pPr>
              <w:jc w:val="center"/>
              <w:rPr>
                <w:noProof/>
                <w:lang w:val="en-IE" w:eastAsia="en-IE"/>
              </w:rPr>
            </w:pPr>
            <w:r w:rsidRPr="00AB66DD">
              <w:rPr>
                <w:b/>
                <w:bCs/>
                <w:noProof/>
                <w:lang w:val="en-IE" w:eastAsia="en-IE"/>
              </w:rPr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Penc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507F5F74" w:rsidR="007365FA" w:rsidRPr="00247576" w:rsidRDefault="002117A5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25" w:anchor="page=9" w:history="1">
              <w:r w:rsidR="00E8576F" w:rsidRPr="002475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Element</w:t>
              </w:r>
              <w:r w:rsidR="00247576" w:rsidRPr="002475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s 2 and 3</w:t>
              </w:r>
              <w:r w:rsidR="00E8576F" w:rsidRPr="002475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 xml:space="preserve"> of the Transitions Self Evaluation Tool</w:t>
              </w:r>
            </w:hyperlink>
            <w:r w:rsidR="00E8576F" w:rsidRPr="0024757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may help you to reflect on your current practice in supporting transitions </w:t>
            </w:r>
            <w:r w:rsidR="00247576" w:rsidRPr="0024757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="00247576" w:rsidRPr="0024757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ithin your everyday practice. </w:t>
            </w:r>
          </w:p>
        </w:tc>
        <w:tc>
          <w:tcPr>
            <w:tcW w:w="657" w:type="dxa"/>
          </w:tcPr>
          <w:p w14:paraId="2F3647B9" w14:textId="77777777" w:rsidR="007365FA" w:rsidRDefault="007365FA" w:rsidP="00DC6B88"/>
        </w:tc>
      </w:tr>
    </w:tbl>
    <w:p w14:paraId="23F6C05A" w14:textId="274BE378" w:rsidR="00DD111F" w:rsidRDefault="00DD111F" w:rsidP="00DD111F"/>
    <w:p w14:paraId="256242B2" w14:textId="45A560CF" w:rsidR="000145CD" w:rsidRDefault="000145CD" w:rsidP="00DD111F"/>
    <w:p w14:paraId="747FBD3D" w14:textId="59914EDD" w:rsidR="000145CD" w:rsidRDefault="000145CD" w:rsidP="00DD111F"/>
    <w:p w14:paraId="368B4EA6" w14:textId="19551265" w:rsidR="00247576" w:rsidRDefault="00247576" w:rsidP="00DD111F"/>
    <w:p w14:paraId="6FAF693B" w14:textId="77777777" w:rsidR="00247576" w:rsidRDefault="00247576" w:rsidP="00DD111F"/>
    <w:p w14:paraId="02080081" w14:textId="77777777" w:rsidR="000145CD" w:rsidRDefault="000145CD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D9536A" w:rsidRDefault="001A165F" w:rsidP="001A165F">
            <w:pPr>
              <w:tabs>
                <w:tab w:val="left" w:pos="1398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9536A">
              <w:rPr>
                <w:b/>
                <w:bCs/>
                <w:color w:val="FFFFFF" w:themeColor="background1"/>
                <w:sz w:val="24"/>
                <w:szCs w:val="24"/>
              </w:rPr>
              <w:t xml:space="preserve">My key reflections having viewed/read the above materials  </w:t>
            </w:r>
          </w:p>
          <w:p w14:paraId="3226175F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00337C" w:rsidRDefault="001A165F" w:rsidP="001A165F">
            <w:pPr>
              <w:rPr>
                <w:color w:val="FFFFFF" w:themeColor="background1"/>
                <w:sz w:val="20"/>
                <w:szCs w:val="20"/>
              </w:rPr>
            </w:pPr>
            <w:r w:rsidRPr="0000337C">
              <w:rPr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00337C">
              <w:rPr>
                <w:color w:val="FFFFFF" w:themeColor="background1"/>
                <w:sz w:val="20"/>
                <w:szCs w:val="20"/>
              </w:rPr>
              <w:t>: What is working well for you in this area? What are the challenges you have experienced in this area? What will you do differently in the future?</w:t>
            </w:r>
          </w:p>
          <w:p w14:paraId="7FF9F0BB" w14:textId="2FD6ACB2" w:rsidR="001A165F" w:rsidRPr="00D9536A" w:rsidRDefault="001A165F" w:rsidP="001A165F">
            <w:pPr>
              <w:rPr>
                <w:b/>
                <w:bCs/>
                <w:color w:val="FFFFFF" w:themeColor="background1"/>
              </w:rPr>
            </w:pPr>
          </w:p>
        </w:tc>
      </w:tr>
      <w:tr w:rsidR="001A165F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Default="001A165F" w:rsidP="001A165F"/>
          <w:p w14:paraId="4F66E2D2" w14:textId="77777777" w:rsidR="001A165F" w:rsidRDefault="001A165F" w:rsidP="001A165F"/>
          <w:p w14:paraId="39187A11" w14:textId="77777777" w:rsidR="001A165F" w:rsidRDefault="001A165F" w:rsidP="001A165F"/>
          <w:p w14:paraId="7B0FA79A" w14:textId="77777777" w:rsidR="001A165F" w:rsidRDefault="001A165F" w:rsidP="001A165F">
            <w:r>
              <w:rPr>
                <w:noProof/>
                <w:lang w:val="en-IE" w:eastAsia="en-IE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Default="001A165F" w:rsidP="001A165F"/>
          <w:p w14:paraId="18C66609" w14:textId="77777777" w:rsidR="001A165F" w:rsidRDefault="001A165F" w:rsidP="001A165F"/>
          <w:p w14:paraId="0E453725" w14:textId="77777777" w:rsidR="001A165F" w:rsidRDefault="001A165F" w:rsidP="001A165F"/>
        </w:tc>
        <w:tc>
          <w:tcPr>
            <w:tcW w:w="7320" w:type="dxa"/>
          </w:tcPr>
          <w:p w14:paraId="1061520C" w14:textId="77777777" w:rsidR="001A165F" w:rsidRDefault="001A165F" w:rsidP="001A165F"/>
          <w:p w14:paraId="00955467" w14:textId="77777777" w:rsidR="001A165F" w:rsidRDefault="001A165F" w:rsidP="001A165F"/>
          <w:p w14:paraId="7BD3B62D" w14:textId="77777777" w:rsidR="001A165F" w:rsidRDefault="001A165F" w:rsidP="001A165F"/>
          <w:p w14:paraId="0400D67C" w14:textId="77777777" w:rsidR="001A165F" w:rsidRDefault="001A165F" w:rsidP="001A165F"/>
          <w:p w14:paraId="2F3114E9" w14:textId="77777777" w:rsidR="001A165F" w:rsidRDefault="001A165F" w:rsidP="001A165F"/>
          <w:p w14:paraId="08FBFB86" w14:textId="77777777" w:rsidR="001A165F" w:rsidRDefault="001A165F" w:rsidP="001A165F"/>
          <w:p w14:paraId="45ED0518" w14:textId="77777777" w:rsidR="001A165F" w:rsidRDefault="001A165F" w:rsidP="001A165F"/>
          <w:p w14:paraId="30E93326" w14:textId="77777777" w:rsidR="001A165F" w:rsidRDefault="001A165F" w:rsidP="001A165F"/>
          <w:p w14:paraId="7D5C12F1" w14:textId="77777777" w:rsidR="001A165F" w:rsidRDefault="001A165F" w:rsidP="001A165F"/>
          <w:p w14:paraId="504F9518" w14:textId="77777777" w:rsidR="001A165F" w:rsidRDefault="001A165F" w:rsidP="001A165F"/>
          <w:p w14:paraId="1817A924" w14:textId="77777777" w:rsidR="001A165F" w:rsidRDefault="001A165F" w:rsidP="001A165F"/>
          <w:p w14:paraId="5EC08160" w14:textId="77777777" w:rsidR="001A165F" w:rsidRDefault="001A165F" w:rsidP="001A165F"/>
          <w:p w14:paraId="1A301BAA" w14:textId="77777777" w:rsidR="001A165F" w:rsidRDefault="001A165F" w:rsidP="001A165F"/>
        </w:tc>
      </w:tr>
      <w:tr w:rsidR="001A165F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026A">
              <w:rPr>
                <w:b/>
                <w:bCs/>
                <w:color w:val="FFFFFF" w:themeColor="background1"/>
                <w:sz w:val="24"/>
                <w:szCs w:val="24"/>
              </w:rPr>
              <w:t>An action I can take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. . .</w:t>
            </w:r>
          </w:p>
          <w:p w14:paraId="54C43DCF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Default="006B31EE" w:rsidP="006B31EE">
            <w:r w:rsidRPr="0000337C">
              <w:rPr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00337C">
              <w:rPr>
                <w:color w:val="FFFFFF" w:themeColor="background1"/>
                <w:sz w:val="20"/>
                <w:szCs w:val="20"/>
              </w:rPr>
              <w:t xml:space="preserve">: </w:t>
            </w:r>
            <w:r w:rsidRPr="0000337C">
              <w:rPr>
                <w:color w:val="FFFFFF" w:themeColor="background1"/>
              </w:rPr>
              <w:t>Outline the changes you plan to make to your practice.</w:t>
            </w:r>
            <w:r w:rsidR="00332973">
              <w:rPr>
                <w:color w:val="FFFFFF" w:themeColor="background1"/>
              </w:rPr>
              <w:t xml:space="preserve"> How will these changes impact positively on children’s learning and development?</w:t>
            </w:r>
            <w:r w:rsidRPr="0000337C">
              <w:rPr>
                <w:color w:val="FFFFFF" w:themeColor="background1"/>
              </w:rPr>
              <w:t xml:space="preserve"> Think about the resources and supports you will </w:t>
            </w:r>
            <w:r w:rsidRPr="001F1104">
              <w:rPr>
                <w:color w:val="FFFFFF" w:themeColor="background1"/>
              </w:rPr>
              <w:t xml:space="preserve">need. </w:t>
            </w:r>
            <w:r w:rsidR="001F1104" w:rsidRPr="001F1104">
              <w:rPr>
                <w:color w:val="FFFFFF" w:themeColor="background1"/>
              </w:rPr>
              <w:t>What aspects of this work would you like to prioritise and focus on in the coming weeks?</w:t>
            </w:r>
          </w:p>
          <w:p w14:paraId="08C9D973" w14:textId="0E73870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A165F" w14:paraId="2AB6C7A1" w14:textId="77777777" w:rsidTr="4DB8A01D">
        <w:tc>
          <w:tcPr>
            <w:tcW w:w="1696" w:type="dxa"/>
          </w:tcPr>
          <w:p w14:paraId="3A8AF2FE" w14:textId="77777777" w:rsidR="001A165F" w:rsidRDefault="001A165F" w:rsidP="001A165F"/>
          <w:p w14:paraId="7F98BF21" w14:textId="77777777" w:rsidR="001A165F" w:rsidRDefault="001A165F" w:rsidP="001A165F"/>
          <w:p w14:paraId="21E9526C" w14:textId="77777777" w:rsidR="001A165F" w:rsidRDefault="001A165F" w:rsidP="001A165F">
            <w:r>
              <w:rPr>
                <w:noProof/>
                <w:lang w:val="en-IE" w:eastAsia="en-IE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Lightbulb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Default="001A165F" w:rsidP="001A165F"/>
          <w:p w14:paraId="4E550F22" w14:textId="77777777" w:rsidR="001A165F" w:rsidRDefault="001A165F" w:rsidP="001A165F"/>
          <w:p w14:paraId="303269D6" w14:textId="77777777" w:rsidR="001A165F" w:rsidRDefault="001A165F" w:rsidP="001A165F"/>
          <w:p w14:paraId="19131275" w14:textId="77777777" w:rsidR="001A165F" w:rsidRDefault="001A165F" w:rsidP="001A165F"/>
        </w:tc>
        <w:tc>
          <w:tcPr>
            <w:tcW w:w="7320" w:type="dxa"/>
          </w:tcPr>
          <w:p w14:paraId="0BB7D292" w14:textId="77777777" w:rsidR="001A165F" w:rsidRDefault="001A165F" w:rsidP="001A165F"/>
          <w:p w14:paraId="2615EA21" w14:textId="77777777" w:rsidR="001A165F" w:rsidRDefault="001A165F" w:rsidP="001A165F"/>
          <w:p w14:paraId="31C3CB95" w14:textId="77777777" w:rsidR="001A165F" w:rsidRDefault="001A165F" w:rsidP="001A165F"/>
          <w:p w14:paraId="3F65D391" w14:textId="77777777" w:rsidR="001A165F" w:rsidRDefault="001A165F" w:rsidP="001A165F"/>
          <w:p w14:paraId="4072439B" w14:textId="77777777" w:rsidR="001A165F" w:rsidRDefault="001A165F" w:rsidP="001A165F"/>
          <w:p w14:paraId="7A987AA8" w14:textId="77777777" w:rsidR="001A165F" w:rsidRDefault="001A165F" w:rsidP="001A165F"/>
          <w:p w14:paraId="46A667B5" w14:textId="77777777" w:rsidR="001A165F" w:rsidRDefault="001A165F" w:rsidP="001A165F"/>
          <w:p w14:paraId="78E55B26" w14:textId="77777777" w:rsidR="001A165F" w:rsidRDefault="001A165F" w:rsidP="001A165F"/>
          <w:p w14:paraId="11E6BD30" w14:textId="77777777" w:rsidR="001A165F" w:rsidRDefault="001A165F" w:rsidP="001A165F"/>
          <w:p w14:paraId="5BF4A1FE" w14:textId="77777777" w:rsidR="001A165F" w:rsidRDefault="001A165F" w:rsidP="001A165F"/>
          <w:p w14:paraId="52F77905" w14:textId="77777777" w:rsidR="001A165F" w:rsidRDefault="001A165F" w:rsidP="001A165F"/>
          <w:p w14:paraId="7AEA964B" w14:textId="730F842B" w:rsidR="001A165F" w:rsidRDefault="001A165F" w:rsidP="001A165F">
            <w:r>
              <w:t xml:space="preserve">Link to the Practice Guide’s </w:t>
            </w:r>
            <w:hyperlink r:id="rId30" w:history="1">
              <w:r w:rsidRPr="008A18A1">
                <w:rPr>
                  <w:rStyle w:val="Hyperlink"/>
                </w:rPr>
                <w:t>Aistear Síolta Action Planning Template</w:t>
              </w:r>
            </w:hyperlink>
            <w:r>
              <w:t xml:space="preserve"> </w:t>
            </w:r>
          </w:p>
          <w:p w14:paraId="1494C784" w14:textId="77777777" w:rsidR="001A165F" w:rsidRDefault="001A165F" w:rsidP="001A165F"/>
        </w:tc>
      </w:tr>
      <w:tr w:rsidR="00494167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Default="00494167" w:rsidP="00494167"/>
          <w:p w14:paraId="3034DD16" w14:textId="77777777" w:rsidR="00494167" w:rsidRPr="00521171" w:rsidRDefault="00494167" w:rsidP="00494167">
            <w:pPr>
              <w:rPr>
                <w:rStyle w:val="Hyperlink"/>
                <w:sz w:val="24"/>
                <w:szCs w:val="24"/>
              </w:rPr>
            </w:pPr>
            <w:r w:rsidRPr="00521171">
              <w:rPr>
                <w:sz w:val="24"/>
                <w:szCs w:val="24"/>
              </w:rPr>
              <w:t xml:space="preserve">All of the above resources and many more are available on the </w:t>
            </w:r>
            <w:r w:rsidRPr="00521171">
              <w:rPr>
                <w:i/>
                <w:iCs/>
                <w:sz w:val="24"/>
                <w:szCs w:val="24"/>
              </w:rPr>
              <w:t>Aistear Síolta Practice Guide</w:t>
            </w:r>
            <w:r w:rsidRPr="00521171">
              <w:rPr>
                <w:sz w:val="24"/>
                <w:szCs w:val="24"/>
              </w:rPr>
              <w:t xml:space="preserve"> website at </w:t>
            </w:r>
            <w:hyperlink r:id="rId31" w:history="1">
              <w:r w:rsidRPr="00521171">
                <w:rPr>
                  <w:rStyle w:val="Hyperlink"/>
                  <w:sz w:val="24"/>
                  <w:szCs w:val="24"/>
                </w:rPr>
                <w:t>www.aistearsiolta.ie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</w:p>
          <w:p w14:paraId="77125F9E" w14:textId="77777777" w:rsidR="00494167" w:rsidRPr="00745771" w:rsidRDefault="00494167" w:rsidP="00494167">
            <w:pPr>
              <w:rPr>
                <w:rStyle w:val="Hyperlink"/>
                <w:sz w:val="24"/>
                <w:szCs w:val="24"/>
              </w:rPr>
            </w:pPr>
          </w:p>
          <w:p w14:paraId="16EB2D4F" w14:textId="4F39FF93" w:rsidR="00494167" w:rsidRDefault="00494167" w:rsidP="00494167">
            <w:pPr>
              <w:jc w:val="center"/>
              <w:rPr>
                <w:sz w:val="24"/>
                <w:szCs w:val="24"/>
              </w:rPr>
            </w:pPr>
            <w:r w:rsidRPr="00521171">
              <w:rPr>
                <w:sz w:val="24"/>
                <w:szCs w:val="24"/>
              </w:rPr>
              <w:t>Thank you for visiting and using the Practice Guide.</w:t>
            </w:r>
          </w:p>
          <w:p w14:paraId="7F0E93E6" w14:textId="6D4CD52A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379A9AC7" w14:textId="41309B23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00BC5533" w14:textId="541D43F1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01C45A29" w14:textId="77777777" w:rsidR="006A351D" w:rsidRPr="00351E64" w:rsidRDefault="006A351D" w:rsidP="00494167">
            <w:pPr>
              <w:jc w:val="center"/>
            </w:pPr>
          </w:p>
          <w:p w14:paraId="1D87652C" w14:textId="77777777" w:rsidR="00494167" w:rsidRDefault="00494167" w:rsidP="001A165F"/>
        </w:tc>
      </w:tr>
      <w:tr w:rsidR="00F225BC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B579BB" w:rsidRDefault="00F225BC" w:rsidP="00F225BC">
            <w:pPr>
              <w:jc w:val="center"/>
              <w:rPr>
                <w:color w:val="FFFFFF" w:themeColor="background1"/>
              </w:rPr>
            </w:pPr>
            <w:r w:rsidRPr="00B579BB">
              <w:rPr>
                <w:color w:val="FFFFFF" w:themeColor="background1"/>
              </w:rPr>
              <w:lastRenderedPageBreak/>
              <w:t>Additional Support Materials</w:t>
            </w:r>
          </w:p>
        </w:tc>
      </w:tr>
      <w:tr w:rsidR="00F225BC" w14:paraId="4AA23888" w14:textId="77777777" w:rsidTr="00A86E8B">
        <w:tc>
          <w:tcPr>
            <w:tcW w:w="1696" w:type="dxa"/>
          </w:tcPr>
          <w:p w14:paraId="40571DAA" w14:textId="77777777" w:rsidR="00F225BC" w:rsidRDefault="00F225BC" w:rsidP="00A86E8B"/>
          <w:p w14:paraId="6919D999" w14:textId="77777777" w:rsidR="00F225BC" w:rsidRDefault="00F225BC" w:rsidP="00A86E8B"/>
          <w:p w14:paraId="1FBDB06E" w14:textId="05F19CB8" w:rsidR="00F225BC" w:rsidRDefault="00B579BB" w:rsidP="00A86E8B">
            <w:r>
              <w:rPr>
                <w:noProof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Cycle with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Default="00F225BC" w:rsidP="00A86E8B"/>
          <w:p w14:paraId="12348A7B" w14:textId="6005EEF9" w:rsidR="00F225BC" w:rsidRDefault="00F225BC" w:rsidP="00A86E8B"/>
          <w:p w14:paraId="04B14FDA" w14:textId="77777777" w:rsidR="00F225BC" w:rsidRDefault="00F225BC" w:rsidP="00A86E8B"/>
          <w:p w14:paraId="21511665" w14:textId="77777777" w:rsidR="00F225BC" w:rsidRDefault="00F225BC" w:rsidP="00A86E8B"/>
        </w:tc>
        <w:tc>
          <w:tcPr>
            <w:tcW w:w="7320" w:type="dxa"/>
          </w:tcPr>
          <w:p w14:paraId="3ED4DD02" w14:textId="77777777" w:rsidR="00F225BC" w:rsidRDefault="00F225BC" w:rsidP="00A86E8B"/>
          <w:p w14:paraId="072F7809" w14:textId="3248941C" w:rsidR="00F225BC" w:rsidRDefault="00DB0C10" w:rsidP="00A86E8B">
            <w:r>
              <w:t xml:space="preserve">You might be interested in these additional support materials from National </w:t>
            </w:r>
            <w:r w:rsidRPr="00B94AE1">
              <w:rPr>
                <w:i/>
                <w:iCs/>
              </w:rPr>
              <w:t>Síolta</w:t>
            </w:r>
            <w:r>
              <w:t xml:space="preserve"> </w:t>
            </w:r>
            <w:r w:rsidRPr="00916282">
              <w:rPr>
                <w:i/>
                <w:iCs/>
                <w:lang w:val="en-IE"/>
              </w:rPr>
              <w:t>Aistear</w:t>
            </w:r>
            <w:r>
              <w:t xml:space="preserve"> Initiative Partners. </w:t>
            </w:r>
          </w:p>
          <w:p w14:paraId="431CB0BC" w14:textId="77777777" w:rsidR="00F225BC" w:rsidRDefault="00F225BC" w:rsidP="00A86E8B"/>
          <w:p w14:paraId="3EB4F05E" w14:textId="77777777" w:rsidR="00F225BC" w:rsidRDefault="00F225BC" w:rsidP="00A86E8B"/>
          <w:p w14:paraId="74E642AB" w14:textId="77777777" w:rsidR="00F225BC" w:rsidRDefault="00F225BC" w:rsidP="00A86E8B"/>
          <w:p w14:paraId="40988EDC" w14:textId="77777777" w:rsidR="00F225BC" w:rsidRDefault="00F225BC" w:rsidP="00A86E8B"/>
          <w:p w14:paraId="37AD67C3" w14:textId="77777777" w:rsidR="00F225BC" w:rsidRDefault="00F225BC" w:rsidP="00A86E8B"/>
          <w:p w14:paraId="12727584" w14:textId="77777777" w:rsidR="00F225BC" w:rsidRDefault="00F225BC" w:rsidP="00A86E8B"/>
          <w:p w14:paraId="4C12FBFB" w14:textId="77777777" w:rsidR="00F225BC" w:rsidRDefault="00F225BC" w:rsidP="00A86E8B"/>
          <w:p w14:paraId="7B8579E5" w14:textId="0296618D" w:rsidR="00F225BC" w:rsidRDefault="00F225BC" w:rsidP="00B579BB"/>
        </w:tc>
      </w:tr>
    </w:tbl>
    <w:p w14:paraId="367A3175" w14:textId="0E492B5B" w:rsidR="00494167" w:rsidRPr="00BD4044" w:rsidRDefault="00494167" w:rsidP="00DD111F"/>
    <w:p w14:paraId="126BB9E3" w14:textId="723A0261" w:rsidR="00DD111F" w:rsidRPr="00BD4044" w:rsidRDefault="00DD111F" w:rsidP="00DD111F"/>
    <w:p w14:paraId="61C2DE83" w14:textId="77777777" w:rsidR="00DD111F" w:rsidRDefault="00DD111F" w:rsidP="00DD111F"/>
    <w:sectPr w:rsidR="00DD111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90BAF" w14:textId="77777777" w:rsidR="00026A10" w:rsidRDefault="00026A10">
      <w:pPr>
        <w:spacing w:after="0" w:line="240" w:lineRule="auto"/>
      </w:pPr>
      <w:r>
        <w:separator/>
      </w:r>
    </w:p>
  </w:endnote>
  <w:endnote w:type="continuationSeparator" w:id="0">
    <w:p w14:paraId="11220DA2" w14:textId="77777777" w:rsidR="00026A10" w:rsidRDefault="00026A10">
      <w:pPr>
        <w:spacing w:after="0" w:line="240" w:lineRule="auto"/>
      </w:pPr>
      <w:r>
        <w:continuationSeparator/>
      </w:r>
    </w:p>
  </w:endnote>
  <w:endnote w:type="continuationNotice" w:id="1">
    <w:p w14:paraId="3DB49DCD" w14:textId="77777777" w:rsidR="00026A10" w:rsidRDefault="00026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15E9" w14:textId="77777777" w:rsidR="002117A5" w:rsidRDefault="00211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E3EF" w14:textId="77777777" w:rsidR="002117A5" w:rsidRDefault="00211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F57C" w14:textId="77777777" w:rsidR="002117A5" w:rsidRDefault="0021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154E" w14:textId="77777777" w:rsidR="00026A10" w:rsidRDefault="00026A10">
      <w:pPr>
        <w:spacing w:after="0" w:line="240" w:lineRule="auto"/>
      </w:pPr>
      <w:r>
        <w:separator/>
      </w:r>
    </w:p>
  </w:footnote>
  <w:footnote w:type="continuationSeparator" w:id="0">
    <w:p w14:paraId="5F040AB2" w14:textId="77777777" w:rsidR="00026A10" w:rsidRDefault="00026A10">
      <w:pPr>
        <w:spacing w:after="0" w:line="240" w:lineRule="auto"/>
      </w:pPr>
      <w:r>
        <w:continuationSeparator/>
      </w:r>
    </w:p>
  </w:footnote>
  <w:footnote w:type="continuationNotice" w:id="1">
    <w:p w14:paraId="61CB3016" w14:textId="77777777" w:rsidR="00026A10" w:rsidRDefault="00026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4382" w14:textId="77777777" w:rsidR="002117A5" w:rsidRDefault="00211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1079CBD1" w:rsidR="00DC6B88" w:rsidRDefault="4DB8A01D">
    <w:pPr>
      <w:pStyle w:val="Header"/>
    </w:pPr>
    <w:r>
      <w:rPr>
        <w:noProof/>
        <w:lang w:val="en-IE" w:eastAsia="en-IE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7A5">
      <w:tab/>
    </w:r>
    <w:r w:rsidR="002117A5">
      <w:tab/>
    </w:r>
    <w:r w:rsidR="002117A5">
      <w:rPr>
        <w:noProof/>
      </w:rPr>
      <w:drawing>
        <wp:inline distT="0" distB="0" distL="0" distR="0" wp14:anchorId="2B8CD929" wp14:editId="5573B144">
          <wp:extent cx="2183642" cy="233219"/>
          <wp:effectExtent l="0" t="0" r="7620" b="0"/>
          <wp:docPr id="736557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3" cy="25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060D" w14:textId="77777777" w:rsidR="002117A5" w:rsidRDefault="00211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04CB1"/>
    <w:rsid w:val="0001171A"/>
    <w:rsid w:val="000145CD"/>
    <w:rsid w:val="0001690D"/>
    <w:rsid w:val="00023E5C"/>
    <w:rsid w:val="00026A10"/>
    <w:rsid w:val="00036642"/>
    <w:rsid w:val="00063895"/>
    <w:rsid w:val="000851A1"/>
    <w:rsid w:val="00087E74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31969"/>
    <w:rsid w:val="00137920"/>
    <w:rsid w:val="001424A2"/>
    <w:rsid w:val="00143827"/>
    <w:rsid w:val="0015636C"/>
    <w:rsid w:val="0016728D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117A5"/>
    <w:rsid w:val="00247576"/>
    <w:rsid w:val="00294C14"/>
    <w:rsid w:val="002C6D0D"/>
    <w:rsid w:val="002C7F95"/>
    <w:rsid w:val="002D44CF"/>
    <w:rsid w:val="002E1583"/>
    <w:rsid w:val="00301C65"/>
    <w:rsid w:val="00306CE5"/>
    <w:rsid w:val="00307579"/>
    <w:rsid w:val="00311B39"/>
    <w:rsid w:val="00315027"/>
    <w:rsid w:val="00332973"/>
    <w:rsid w:val="00367D59"/>
    <w:rsid w:val="003B0AAA"/>
    <w:rsid w:val="003B7996"/>
    <w:rsid w:val="003E62FA"/>
    <w:rsid w:val="004158B6"/>
    <w:rsid w:val="0042769A"/>
    <w:rsid w:val="00435DEA"/>
    <w:rsid w:val="00472F29"/>
    <w:rsid w:val="00473846"/>
    <w:rsid w:val="00480ADB"/>
    <w:rsid w:val="00487657"/>
    <w:rsid w:val="00494167"/>
    <w:rsid w:val="004A6762"/>
    <w:rsid w:val="004E657D"/>
    <w:rsid w:val="0053010C"/>
    <w:rsid w:val="00535A72"/>
    <w:rsid w:val="00541019"/>
    <w:rsid w:val="00545AA4"/>
    <w:rsid w:val="0055256F"/>
    <w:rsid w:val="00553700"/>
    <w:rsid w:val="005601CE"/>
    <w:rsid w:val="00564BB1"/>
    <w:rsid w:val="00595442"/>
    <w:rsid w:val="005A5C26"/>
    <w:rsid w:val="005B32E0"/>
    <w:rsid w:val="005D6A85"/>
    <w:rsid w:val="005E5350"/>
    <w:rsid w:val="005F3BE4"/>
    <w:rsid w:val="00614012"/>
    <w:rsid w:val="00615757"/>
    <w:rsid w:val="00615C25"/>
    <w:rsid w:val="006221EE"/>
    <w:rsid w:val="00637036"/>
    <w:rsid w:val="00637BF9"/>
    <w:rsid w:val="00640C2F"/>
    <w:rsid w:val="00672AE2"/>
    <w:rsid w:val="00673F16"/>
    <w:rsid w:val="006848E9"/>
    <w:rsid w:val="006A351D"/>
    <w:rsid w:val="006A3C44"/>
    <w:rsid w:val="006A5211"/>
    <w:rsid w:val="006B0E73"/>
    <w:rsid w:val="006B31EE"/>
    <w:rsid w:val="006B3FB5"/>
    <w:rsid w:val="006D1267"/>
    <w:rsid w:val="006D1DDA"/>
    <w:rsid w:val="006F183F"/>
    <w:rsid w:val="006F3A03"/>
    <w:rsid w:val="006F4277"/>
    <w:rsid w:val="0070770C"/>
    <w:rsid w:val="0071206E"/>
    <w:rsid w:val="007310C1"/>
    <w:rsid w:val="007365FA"/>
    <w:rsid w:val="007557D1"/>
    <w:rsid w:val="0076380D"/>
    <w:rsid w:val="00764F67"/>
    <w:rsid w:val="00774217"/>
    <w:rsid w:val="00786026"/>
    <w:rsid w:val="0079538E"/>
    <w:rsid w:val="007A6B69"/>
    <w:rsid w:val="007B4D13"/>
    <w:rsid w:val="007D50A6"/>
    <w:rsid w:val="007E1A99"/>
    <w:rsid w:val="00801D6C"/>
    <w:rsid w:val="00811C12"/>
    <w:rsid w:val="00830178"/>
    <w:rsid w:val="0083351C"/>
    <w:rsid w:val="008452F2"/>
    <w:rsid w:val="008539A5"/>
    <w:rsid w:val="00875C9F"/>
    <w:rsid w:val="008A18A1"/>
    <w:rsid w:val="008A419D"/>
    <w:rsid w:val="008B21F5"/>
    <w:rsid w:val="008B2819"/>
    <w:rsid w:val="008B5457"/>
    <w:rsid w:val="008C37BE"/>
    <w:rsid w:val="008C6424"/>
    <w:rsid w:val="008D6B1B"/>
    <w:rsid w:val="008E0E3C"/>
    <w:rsid w:val="008E3079"/>
    <w:rsid w:val="008E77C3"/>
    <w:rsid w:val="00905450"/>
    <w:rsid w:val="00917AEA"/>
    <w:rsid w:val="00920A77"/>
    <w:rsid w:val="00934B33"/>
    <w:rsid w:val="00943F05"/>
    <w:rsid w:val="00947662"/>
    <w:rsid w:val="009515EB"/>
    <w:rsid w:val="009A1BD2"/>
    <w:rsid w:val="009A57F7"/>
    <w:rsid w:val="009B287E"/>
    <w:rsid w:val="009F386C"/>
    <w:rsid w:val="00A056BD"/>
    <w:rsid w:val="00A072A8"/>
    <w:rsid w:val="00A14302"/>
    <w:rsid w:val="00A14D6A"/>
    <w:rsid w:val="00A220CA"/>
    <w:rsid w:val="00A22617"/>
    <w:rsid w:val="00A46865"/>
    <w:rsid w:val="00A47D7B"/>
    <w:rsid w:val="00A85B9F"/>
    <w:rsid w:val="00A869A4"/>
    <w:rsid w:val="00AB13E5"/>
    <w:rsid w:val="00AC3846"/>
    <w:rsid w:val="00AD0F39"/>
    <w:rsid w:val="00AE07E0"/>
    <w:rsid w:val="00AE52CC"/>
    <w:rsid w:val="00AE5754"/>
    <w:rsid w:val="00B02FCE"/>
    <w:rsid w:val="00B27CEC"/>
    <w:rsid w:val="00B3284F"/>
    <w:rsid w:val="00B32CD2"/>
    <w:rsid w:val="00B55F83"/>
    <w:rsid w:val="00B579BB"/>
    <w:rsid w:val="00B57CCC"/>
    <w:rsid w:val="00B6199C"/>
    <w:rsid w:val="00B621AF"/>
    <w:rsid w:val="00B6634C"/>
    <w:rsid w:val="00B77120"/>
    <w:rsid w:val="00B94AE1"/>
    <w:rsid w:val="00BB28E7"/>
    <w:rsid w:val="00BD4556"/>
    <w:rsid w:val="00BD547F"/>
    <w:rsid w:val="00BD5F04"/>
    <w:rsid w:val="00C170F3"/>
    <w:rsid w:val="00C451D7"/>
    <w:rsid w:val="00C45B05"/>
    <w:rsid w:val="00C77C9F"/>
    <w:rsid w:val="00C908C5"/>
    <w:rsid w:val="00C90A02"/>
    <w:rsid w:val="00C90C09"/>
    <w:rsid w:val="00C9567D"/>
    <w:rsid w:val="00C96191"/>
    <w:rsid w:val="00CA6D11"/>
    <w:rsid w:val="00CD1C96"/>
    <w:rsid w:val="00CF46D8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E03ED3"/>
    <w:rsid w:val="00E131D2"/>
    <w:rsid w:val="00E17EC6"/>
    <w:rsid w:val="00E561E3"/>
    <w:rsid w:val="00E6032D"/>
    <w:rsid w:val="00E8576F"/>
    <w:rsid w:val="00E91D3A"/>
    <w:rsid w:val="00E946D5"/>
    <w:rsid w:val="00EC6652"/>
    <w:rsid w:val="00ED22AA"/>
    <w:rsid w:val="00EE10D2"/>
    <w:rsid w:val="00EE46E6"/>
    <w:rsid w:val="00EF0E27"/>
    <w:rsid w:val="00F0089C"/>
    <w:rsid w:val="00F055BD"/>
    <w:rsid w:val="00F15961"/>
    <w:rsid w:val="00F174DE"/>
    <w:rsid w:val="00F20E22"/>
    <w:rsid w:val="00F225BC"/>
    <w:rsid w:val="00F23DA7"/>
    <w:rsid w:val="00F3460F"/>
    <w:rsid w:val="00F3676D"/>
    <w:rsid w:val="00F612B7"/>
    <w:rsid w:val="00F65A25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7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5CD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0145CD"/>
    <w:rPr>
      <w:i/>
      <w:iCs/>
    </w:rPr>
  </w:style>
  <w:style w:type="character" w:customStyle="1" w:styleId="gmail-normaltextrun">
    <w:name w:val="gmail-normaltextrun"/>
    <w:basedOn w:val="DefaultParagraphFont"/>
    <w:rsid w:val="0001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footer" Target="footer3.xml"/><Relationship Id="rId21" Type="http://schemas.openxmlformats.org/officeDocument/2006/relationships/hyperlink" Target="https://www.aistearsiolta.ie/en/transitions/resources-for-sharing/using-a-key-person-approach.pdf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transitions/examples-and-ideas-for-practice/supporting-the-transition-from-room-to-room-within-a-setting-birth-3-years-.html" TargetMode="External"/><Relationship Id="rId29" Type="http://schemas.openxmlformats.org/officeDocument/2006/relationships/image" Target="media/image12.sv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curriculum-foundations/aistear-and-siolta-documents/well-being.pdf" TargetMode="External"/><Relationship Id="rId24" Type="http://schemas.openxmlformats.org/officeDocument/2006/relationships/image" Target="media/image8.svg"/><Relationship Id="rId32" Type="http://schemas.openxmlformats.org/officeDocument/2006/relationships/image" Target="media/image13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://www.aistearsiolta.i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transitions/resources-for-sharing/supporting-quality-interactions-during-care-giving-routines-birth-3-years-_.pdf" TargetMode="External"/><Relationship Id="rId27" Type="http://schemas.openxmlformats.org/officeDocument/2006/relationships/image" Target="media/image10.svg"/><Relationship Id="rId30" Type="http://schemas.openxmlformats.org/officeDocument/2006/relationships/hyperlink" Target="http://aistearsiolta.ie/en/Introduction/Action-planning-tool-for-Siolta-and-Aistear/Action-planning-tool-for-Siolta-and-Aistear.pdf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istearsiolta.ie/en/curriculum-foundations/aistear-and-siolta-documents/13-transitions.pdf" TargetMode="External"/><Relationship Id="rId17" Type="http://schemas.openxmlformats.org/officeDocument/2006/relationships/hyperlink" Target="https://www.aistearsiolta.ie/en/transitions/overview/supporting-transitions.pdf" TargetMode="External"/><Relationship Id="rId25" Type="http://schemas.openxmlformats.org/officeDocument/2006/relationships/hyperlink" Target="https://www.aistearsiolta.ie/en/transitions/self-evaluation-tools-/self-evaluation-tool-transitions.pdf" TargetMode="External"/><Relationship Id="rId33" Type="http://schemas.openxmlformats.org/officeDocument/2006/relationships/image" Target="media/image14.svg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Lorraine Farrell</cp:lastModifiedBy>
  <cp:revision>24</cp:revision>
  <cp:lastPrinted>2021-04-28T13:17:00Z</cp:lastPrinted>
  <dcterms:created xsi:type="dcterms:W3CDTF">2022-12-08T15:36:00Z</dcterms:created>
  <dcterms:modified xsi:type="dcterms:W3CDTF">2024-06-18T12:22:00Z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